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DB" w:rsidRDefault="006061DB" w:rsidP="00AF1E6A">
      <w:pPr>
        <w:autoSpaceDE w:val="0"/>
        <w:autoSpaceDN w:val="0"/>
        <w:adjustRightInd w:val="0"/>
        <w:spacing w:after="0" w:line="240" w:lineRule="auto"/>
        <w:rPr>
          <w:rFonts w:cstheme="minorHAnsi"/>
          <w:b/>
          <w:bCs/>
        </w:rPr>
      </w:pPr>
      <w:bookmarkStart w:id="0" w:name="_GoBack"/>
      <w:bookmarkEnd w:id="0"/>
    </w:p>
    <w:p w:rsidR="00AF1E6A" w:rsidRPr="006061DB" w:rsidRDefault="00AF1E6A" w:rsidP="006061DB">
      <w:pPr>
        <w:autoSpaceDE w:val="0"/>
        <w:autoSpaceDN w:val="0"/>
        <w:adjustRightInd w:val="0"/>
        <w:spacing w:after="0" w:line="240" w:lineRule="auto"/>
        <w:jc w:val="center"/>
        <w:rPr>
          <w:rFonts w:cstheme="minorHAnsi"/>
          <w:b/>
          <w:bCs/>
          <w:sz w:val="32"/>
          <w:szCs w:val="32"/>
        </w:rPr>
      </w:pPr>
      <w:r w:rsidRPr="006061DB">
        <w:rPr>
          <w:rFonts w:cstheme="minorHAnsi"/>
          <w:b/>
          <w:bCs/>
          <w:sz w:val="32"/>
          <w:szCs w:val="32"/>
        </w:rPr>
        <w:t xml:space="preserve">POSTUPY </w:t>
      </w:r>
      <w:r w:rsidR="00215198">
        <w:rPr>
          <w:rFonts w:cstheme="minorHAnsi"/>
          <w:b/>
          <w:bCs/>
          <w:sz w:val="32"/>
          <w:szCs w:val="32"/>
        </w:rPr>
        <w:t>V ZADÁVACÍCH ŘÍZENÍCH PRO KU Z ČR</w:t>
      </w:r>
    </w:p>
    <w:p w:rsidR="006061DB" w:rsidRDefault="006061DB" w:rsidP="00AF1E6A">
      <w:pPr>
        <w:autoSpaceDE w:val="0"/>
        <w:autoSpaceDN w:val="0"/>
        <w:adjustRightInd w:val="0"/>
        <w:spacing w:after="0" w:line="240" w:lineRule="auto"/>
        <w:rPr>
          <w:rFonts w:cstheme="minorHAnsi"/>
          <w:b/>
          <w:bCs/>
        </w:rPr>
      </w:pPr>
    </w:p>
    <w:p w:rsidR="00A12FE6" w:rsidRPr="00BA6921" w:rsidRDefault="00A12FE6" w:rsidP="00914705">
      <w:pPr>
        <w:autoSpaceDE w:val="0"/>
        <w:autoSpaceDN w:val="0"/>
        <w:adjustRightInd w:val="0"/>
        <w:spacing w:line="240" w:lineRule="auto"/>
        <w:jc w:val="both"/>
        <w:rPr>
          <w:rFonts w:eastAsiaTheme="minorHAnsi"/>
          <w:lang w:eastAsia="en-US"/>
        </w:rPr>
      </w:pPr>
      <w:r w:rsidRPr="00BA6921">
        <w:rPr>
          <w:rFonts w:eastAsiaTheme="minorHAnsi"/>
          <w:lang w:eastAsia="en-US"/>
        </w:rPr>
        <w:t xml:space="preserve">V případě, že část aktivit nebude </w:t>
      </w:r>
      <w:r w:rsidRPr="004670B9">
        <w:rPr>
          <w:rFonts w:eastAsiaTheme="minorHAnsi"/>
          <w:lang w:eastAsia="en-US"/>
        </w:rPr>
        <w:t>zabezpečena</w:t>
      </w:r>
      <w:r w:rsidR="004670B9" w:rsidRPr="004670B9">
        <w:rPr>
          <w:rFonts w:eastAsiaTheme="minorHAnsi"/>
          <w:lang w:eastAsia="en-US"/>
        </w:rPr>
        <w:t xml:space="preserve"> </w:t>
      </w:r>
      <w:r w:rsidRPr="004670B9">
        <w:rPr>
          <w:rFonts w:eastAsiaTheme="minorHAnsi"/>
          <w:lang w:eastAsia="en-US"/>
        </w:rPr>
        <w:t>konečným uživatelem,</w:t>
      </w:r>
      <w:r w:rsidRPr="00BA6921">
        <w:rPr>
          <w:rFonts w:eastAsiaTheme="minorHAnsi"/>
          <w:lang w:eastAsia="en-US"/>
        </w:rPr>
        <w:t xml:space="preserve"> ale bude realizována na základě jedné nebo více smluv o dodávce zboží, služeb či stavebních prací, musí </w:t>
      </w:r>
      <w:r w:rsidR="004670B9">
        <w:rPr>
          <w:rFonts w:eastAsiaTheme="minorHAnsi"/>
          <w:lang w:eastAsia="en-US"/>
        </w:rPr>
        <w:t>konečný uživatel</w:t>
      </w:r>
      <w:r w:rsidRPr="00BA6921">
        <w:rPr>
          <w:rFonts w:eastAsiaTheme="minorHAnsi"/>
          <w:lang w:eastAsia="en-US"/>
        </w:rPr>
        <w:t xml:space="preserve"> při uzavírání takových smluv postupovat </w:t>
      </w:r>
      <w:r w:rsidRPr="00914705">
        <w:rPr>
          <w:rFonts w:eastAsiaTheme="minorHAnsi"/>
          <w:lang w:eastAsia="en-US"/>
        </w:rPr>
        <w:t>v souladu s národní legislativou a pravidly Programu</w:t>
      </w:r>
      <w:r w:rsidR="00914705" w:rsidRPr="00914705">
        <w:rPr>
          <w:rFonts w:eastAsiaTheme="minorHAnsi"/>
          <w:lang w:eastAsia="en-US"/>
        </w:rPr>
        <w:t xml:space="preserve"> INTERRE</w:t>
      </w:r>
      <w:r w:rsidR="005F450E">
        <w:rPr>
          <w:rFonts w:eastAsiaTheme="minorHAnsi"/>
          <w:lang w:eastAsia="en-US"/>
        </w:rPr>
        <w:t>G</w:t>
      </w:r>
      <w:r w:rsidR="00914705" w:rsidRPr="00914705">
        <w:rPr>
          <w:rFonts w:eastAsiaTheme="minorHAnsi"/>
          <w:lang w:eastAsia="en-US"/>
        </w:rPr>
        <w:t xml:space="preserve"> V-A</w:t>
      </w:r>
      <w:r w:rsidRPr="00914705">
        <w:rPr>
          <w:rFonts w:eastAsiaTheme="minorHAnsi"/>
          <w:lang w:eastAsia="en-US"/>
        </w:rPr>
        <w:t xml:space="preserve"> a </w:t>
      </w:r>
      <w:r w:rsidR="00914705" w:rsidRPr="00914705">
        <w:rPr>
          <w:rFonts w:eastAsiaTheme="minorHAnsi"/>
          <w:lang w:eastAsia="en-US"/>
        </w:rPr>
        <w:t>Fondem malých projektů</w:t>
      </w:r>
      <w:r w:rsidRPr="00914705">
        <w:rPr>
          <w:rFonts w:eastAsiaTheme="minorHAnsi"/>
          <w:lang w:eastAsia="en-US"/>
        </w:rPr>
        <w:t>, přičemž toto platí i u veřejných zaká</w:t>
      </w:r>
      <w:r w:rsidR="00674580">
        <w:rPr>
          <w:rFonts w:eastAsiaTheme="minorHAnsi"/>
          <w:lang w:eastAsia="en-US"/>
        </w:rPr>
        <w:t>zek zadávaných ve fázi přípravy Ž</w:t>
      </w:r>
      <w:r w:rsidRPr="00914705">
        <w:rPr>
          <w:rFonts w:eastAsiaTheme="minorHAnsi"/>
          <w:lang w:eastAsia="en-US"/>
        </w:rPr>
        <w:t>ádosti</w:t>
      </w:r>
      <w:r w:rsidR="00914705">
        <w:rPr>
          <w:rFonts w:eastAsiaTheme="minorHAnsi"/>
          <w:lang w:eastAsia="en-US"/>
        </w:rPr>
        <w:t xml:space="preserve"> o NFP</w:t>
      </w:r>
      <w:r w:rsidRPr="00BA6921">
        <w:rPr>
          <w:rFonts w:eastAsiaTheme="minorHAnsi"/>
          <w:lang w:eastAsia="en-US"/>
        </w:rPr>
        <w:t xml:space="preserve">. </w:t>
      </w:r>
    </w:p>
    <w:p w:rsidR="00A12FE6" w:rsidRDefault="00A12FE6" w:rsidP="00914705">
      <w:pPr>
        <w:autoSpaceDE w:val="0"/>
        <w:autoSpaceDN w:val="0"/>
        <w:adjustRightInd w:val="0"/>
        <w:spacing w:line="240" w:lineRule="auto"/>
        <w:jc w:val="both"/>
        <w:rPr>
          <w:rFonts w:eastAsiaTheme="minorHAnsi"/>
          <w:lang w:eastAsia="en-US"/>
        </w:rPr>
      </w:pPr>
      <w:r w:rsidRPr="00BA6921">
        <w:rPr>
          <w:rFonts w:eastAsiaTheme="minorHAnsi"/>
          <w:lang w:eastAsia="en-US"/>
        </w:rPr>
        <w:t xml:space="preserve">Hlavním smyslem zadávacích řízení je umožnit rovný přístup všem potenciálním dodavatelům a zajistit hospodárné nakládání s veřejnými prostředky. Z toho důvodu je nutné klást důraz nejen na dodržování procedur, ale i na plnění základních zásad a principů (zásady transparentnosti, přiměřenosti, rovného zacházení a zákazu diskriminace, princip hospodárnosti, efektivnosti a účelnosti). </w:t>
      </w:r>
    </w:p>
    <w:p w:rsidR="00A12FE6" w:rsidRPr="006F0A08" w:rsidRDefault="00A12FE6" w:rsidP="00A12FE6">
      <w:pPr>
        <w:autoSpaceDE w:val="0"/>
        <w:autoSpaceDN w:val="0"/>
        <w:adjustRightInd w:val="0"/>
        <w:spacing w:after="0" w:line="240" w:lineRule="auto"/>
        <w:rPr>
          <w:rFonts w:eastAsiaTheme="minorHAnsi"/>
          <w:lang w:eastAsia="en-US"/>
        </w:rPr>
      </w:pPr>
      <w:r w:rsidRPr="006F0A08">
        <w:rPr>
          <w:rFonts w:eastAsiaTheme="minorHAnsi"/>
          <w:lang w:eastAsia="en-US"/>
        </w:rPr>
        <w:t xml:space="preserve">V případě </w:t>
      </w:r>
      <w:r w:rsidR="00981F18">
        <w:rPr>
          <w:rFonts w:eastAsiaTheme="minorHAnsi"/>
          <w:lang w:eastAsia="en-US"/>
        </w:rPr>
        <w:t>konečných uživatelů z ČR</w:t>
      </w:r>
      <w:r w:rsidRPr="006F0A08">
        <w:rPr>
          <w:rFonts w:eastAsiaTheme="minorHAnsi"/>
          <w:lang w:eastAsia="en-US"/>
        </w:rPr>
        <w:t xml:space="preserve"> je povinnost postupovat v souladu: </w:t>
      </w:r>
    </w:p>
    <w:p w:rsidR="00A12FE6" w:rsidRPr="00A13046" w:rsidRDefault="00A12FE6" w:rsidP="00A12FE6">
      <w:pPr>
        <w:pStyle w:val="Odstavecseseznamem"/>
        <w:numPr>
          <w:ilvl w:val="0"/>
          <w:numId w:val="11"/>
        </w:numPr>
        <w:spacing w:before="120" w:after="0" w:line="240" w:lineRule="auto"/>
        <w:ind w:left="312" w:hanging="357"/>
        <w:jc w:val="both"/>
        <w:rPr>
          <w:rFonts w:eastAsia="Calibri"/>
        </w:rPr>
      </w:pPr>
      <w:r w:rsidRPr="00A13046">
        <w:rPr>
          <w:rFonts w:eastAsia="Calibri"/>
        </w:rPr>
        <w:t>se zákonem č. 134/2016 Sb., o zadávání veřejných zakázek, v platném znění a s</w:t>
      </w:r>
      <w:r>
        <w:rPr>
          <w:rFonts w:eastAsia="Calibri"/>
        </w:rPr>
        <w:t>e</w:t>
      </w:r>
      <w:r w:rsidRPr="00A13046">
        <w:rPr>
          <w:rFonts w:eastAsia="Calibri"/>
        </w:rPr>
        <w:t xml:space="preserve"> souvisejícími zákony, vyhláškami a metodickými postupy; </w:t>
      </w:r>
    </w:p>
    <w:p w:rsidR="00A12FE6" w:rsidRPr="00935F1B" w:rsidRDefault="00467C8F" w:rsidP="00B9793F">
      <w:pPr>
        <w:pStyle w:val="Odstavecseseznamem"/>
        <w:numPr>
          <w:ilvl w:val="0"/>
          <w:numId w:val="11"/>
        </w:numPr>
        <w:spacing w:before="120" w:line="240" w:lineRule="auto"/>
        <w:ind w:left="312" w:hanging="357"/>
        <w:jc w:val="both"/>
        <w:rPr>
          <w:rFonts w:eastAsia="Calibri"/>
        </w:rPr>
      </w:pPr>
      <w:r>
        <w:rPr>
          <w:rFonts w:eastAsia="Calibri"/>
        </w:rPr>
        <w:t>v případě</w:t>
      </w:r>
      <w:r w:rsidR="00A12FE6" w:rsidRPr="00A13046">
        <w:rPr>
          <w:rFonts w:eastAsia="Calibri"/>
        </w:rPr>
        <w:t xml:space="preserve"> veřejných zakázek, jejichž zadávání tento zákon neupravuje (zejména veřejné zakázky malého rozsahu)</w:t>
      </w:r>
      <w:r>
        <w:rPr>
          <w:rFonts w:eastAsia="Calibri"/>
        </w:rPr>
        <w:t>,</w:t>
      </w:r>
      <w:r w:rsidR="00A12FE6" w:rsidRPr="00A13046">
        <w:rPr>
          <w:rFonts w:eastAsia="Calibri"/>
        </w:rPr>
        <w:t xml:space="preserve"> je </w:t>
      </w:r>
      <w:r w:rsidR="009860FC">
        <w:rPr>
          <w:rFonts w:eastAsia="Calibri"/>
        </w:rPr>
        <w:t>konečný uživatel</w:t>
      </w:r>
      <w:r w:rsidR="00A12FE6" w:rsidRPr="00A13046">
        <w:rPr>
          <w:rFonts w:eastAsia="Calibri"/>
        </w:rPr>
        <w:t xml:space="preserve"> </w:t>
      </w:r>
      <w:r w:rsidR="00A12FE6" w:rsidRPr="005C0F1C">
        <w:rPr>
          <w:rFonts w:eastAsia="Calibri"/>
        </w:rPr>
        <w:t>povinen postupovat v souladu s Metodickým pokynem pro oblast zadávání zakázek pro programové období 2014-2020</w:t>
      </w:r>
      <w:r w:rsidR="00B73223" w:rsidRPr="005C0F1C">
        <w:rPr>
          <w:rFonts w:eastAsia="Calibri"/>
        </w:rPr>
        <w:t xml:space="preserve"> vydaným Ministerstvem pro místní rozvoj</w:t>
      </w:r>
      <w:r w:rsidR="006F24A6" w:rsidRPr="005C0F1C">
        <w:rPr>
          <w:rFonts w:eastAsia="Calibri"/>
        </w:rPr>
        <w:t>, zveřejněném na stránkách národního orgánu.</w:t>
      </w:r>
    </w:p>
    <w:p w:rsidR="00A12FE6" w:rsidRDefault="00A12FE6" w:rsidP="00B9793F">
      <w:pPr>
        <w:autoSpaceDE w:val="0"/>
        <w:autoSpaceDN w:val="0"/>
        <w:adjustRightInd w:val="0"/>
        <w:spacing w:line="240" w:lineRule="auto"/>
        <w:jc w:val="both"/>
        <w:rPr>
          <w:rFonts w:eastAsiaTheme="minorHAnsi"/>
          <w:lang w:eastAsia="en-US"/>
        </w:rPr>
      </w:pPr>
      <w:r w:rsidRPr="00935F1B">
        <w:rPr>
          <w:rFonts w:eastAsiaTheme="minorHAnsi"/>
          <w:lang w:eastAsia="en-US"/>
        </w:rPr>
        <w:t xml:space="preserve">V případě, že v organizaci konečného uživatele platí vlastní postupy </w:t>
      </w:r>
      <w:r w:rsidR="0052366F" w:rsidRPr="00935F1B">
        <w:rPr>
          <w:rFonts w:eastAsiaTheme="minorHAnsi"/>
          <w:lang w:eastAsia="en-US"/>
        </w:rPr>
        <w:t xml:space="preserve">(interní směrnice) </w:t>
      </w:r>
      <w:r w:rsidRPr="00935F1B">
        <w:rPr>
          <w:rFonts w:eastAsiaTheme="minorHAnsi"/>
          <w:lang w:eastAsia="en-US"/>
        </w:rPr>
        <w:t xml:space="preserve">pro zadávání veřejných zakázek, může je </w:t>
      </w:r>
      <w:r w:rsidR="00B9793F" w:rsidRPr="00935F1B">
        <w:rPr>
          <w:rFonts w:eastAsiaTheme="minorHAnsi"/>
          <w:lang w:eastAsia="en-US"/>
        </w:rPr>
        <w:t>konečný uživatel</w:t>
      </w:r>
      <w:r w:rsidRPr="00935F1B">
        <w:rPr>
          <w:rFonts w:eastAsiaTheme="minorHAnsi"/>
          <w:lang w:eastAsia="en-US"/>
        </w:rPr>
        <w:t xml:space="preserve"> aplikovat, pokud splňují minimálně požadavky stanovené v zákoně, resp. Metodickém pokynu pro oblast zadávání zakázek pro programové období </w:t>
      </w:r>
      <w:proofErr w:type="gramStart"/>
      <w:r w:rsidRPr="00935F1B">
        <w:rPr>
          <w:rFonts w:eastAsiaTheme="minorHAnsi"/>
          <w:lang w:eastAsia="en-US"/>
        </w:rPr>
        <w:t>2014 - 2020</w:t>
      </w:r>
      <w:proofErr w:type="gramEnd"/>
      <w:r w:rsidRPr="00935F1B">
        <w:rPr>
          <w:rFonts w:eastAsiaTheme="minorHAnsi"/>
          <w:lang w:eastAsia="en-US"/>
        </w:rPr>
        <w:t xml:space="preserve"> (v tomto případě doporučujeme předem konzultovat postup s příslušným Správcem, který bude posuzovat, zda vlastní postupy uplatňované v organizaci </w:t>
      </w:r>
      <w:r w:rsidR="009969BA">
        <w:rPr>
          <w:rFonts w:eastAsiaTheme="minorHAnsi"/>
          <w:lang w:eastAsia="en-US"/>
        </w:rPr>
        <w:t>KU</w:t>
      </w:r>
      <w:r w:rsidRPr="00935F1B">
        <w:rPr>
          <w:rFonts w:eastAsiaTheme="minorHAnsi"/>
          <w:lang w:eastAsia="en-US"/>
        </w:rPr>
        <w:t xml:space="preserve"> splňují minimálně požadavky stanovené v zákoně, resp. postupy uvedené v Metodickém pokynu pro oblast zadávání zakázek pro programové období 2014 - 2020). </w:t>
      </w:r>
      <w:r w:rsidR="0012173F" w:rsidRPr="00935F1B">
        <w:rPr>
          <w:rFonts w:eastAsiaTheme="minorHAnsi"/>
          <w:lang w:eastAsia="en-US"/>
        </w:rPr>
        <w:t xml:space="preserve">V případě, že konečný uživatel má vlastní postupy (směrnice) pro zadávání veřejných zakázek, </w:t>
      </w:r>
      <w:r w:rsidR="00FA1371" w:rsidRPr="00935F1B">
        <w:rPr>
          <w:rFonts w:eastAsiaTheme="minorHAnsi"/>
          <w:lang w:eastAsia="en-US"/>
        </w:rPr>
        <w:t>je konečný uživatel po</w:t>
      </w:r>
      <w:r w:rsidR="00FA1371">
        <w:rPr>
          <w:rFonts w:eastAsiaTheme="minorHAnsi"/>
          <w:lang w:eastAsia="en-US"/>
        </w:rPr>
        <w:t>vinen tyto směrnice platné v průběhu zadávacího řízení doložit Správci společně se Závěrečnou zprávou.</w:t>
      </w:r>
    </w:p>
    <w:p w:rsidR="00A12FE6" w:rsidRPr="006F0A08" w:rsidRDefault="00A12FE6" w:rsidP="00FA1371">
      <w:pPr>
        <w:autoSpaceDE w:val="0"/>
        <w:autoSpaceDN w:val="0"/>
        <w:adjustRightInd w:val="0"/>
        <w:spacing w:line="240" w:lineRule="auto"/>
        <w:jc w:val="both"/>
        <w:rPr>
          <w:rFonts w:eastAsiaTheme="minorHAnsi"/>
          <w:lang w:eastAsia="en-US"/>
        </w:rPr>
      </w:pPr>
      <w:r w:rsidRPr="006F0A08">
        <w:rPr>
          <w:rFonts w:eastAsiaTheme="minorHAnsi"/>
          <w:lang w:eastAsia="en-US"/>
        </w:rPr>
        <w:t xml:space="preserve">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134/2016 Sb. (zákon o veřejných zakázkách) v platném znění. Z toho důvodu je nutné klást důraz nejen na dodržování procedur, ale i na zmíněné principy a zásady. </w:t>
      </w:r>
    </w:p>
    <w:p w:rsidR="00A12FE6" w:rsidRDefault="00A12FE6" w:rsidP="00565FEA">
      <w:pPr>
        <w:autoSpaceDE w:val="0"/>
        <w:autoSpaceDN w:val="0"/>
        <w:adjustRightInd w:val="0"/>
        <w:spacing w:line="240" w:lineRule="auto"/>
        <w:jc w:val="both"/>
        <w:rPr>
          <w:rFonts w:eastAsiaTheme="minorHAnsi"/>
          <w:lang w:eastAsia="en-US"/>
        </w:rPr>
      </w:pPr>
      <w:r w:rsidRPr="006F0A08">
        <w:rPr>
          <w:rFonts w:eastAsiaTheme="minorHAnsi"/>
          <w:lang w:eastAsia="en-US"/>
        </w:rPr>
        <w:t xml:space="preserve">Zásady transparentnosti, rovného zacházení a zákazu diskriminace a stejně tak principy hospodárnosti, efektivnosti a účelnosti a zásada přiměřenosti, se vztahují na všechny veřejné zakázky bez ohledu na to, zda jsou postupy pro jejich zadávání upraveny přímo </w:t>
      </w:r>
      <w:r w:rsidR="00A8783C">
        <w:rPr>
          <w:rFonts w:eastAsiaTheme="minorHAnsi"/>
          <w:lang w:eastAsia="en-US"/>
        </w:rPr>
        <w:t>z</w:t>
      </w:r>
      <w:r w:rsidRPr="006F0A08">
        <w:rPr>
          <w:rFonts w:eastAsiaTheme="minorHAnsi"/>
          <w:lang w:eastAsia="en-US"/>
        </w:rPr>
        <w:t xml:space="preserve">ákonem č. 134/2016 Sb., o veřejných zakázkách nebo jinými pravidly, a jejich dodržení je předmětem posouzení zadávacích řízení </w:t>
      </w:r>
      <w:r w:rsidRPr="00A8783C">
        <w:rPr>
          <w:rFonts w:eastAsiaTheme="minorHAnsi"/>
          <w:lang w:eastAsia="en-US"/>
        </w:rPr>
        <w:t>Správcem.</w:t>
      </w:r>
    </w:p>
    <w:p w:rsidR="00A12FE6" w:rsidRPr="001D1831" w:rsidRDefault="00A12FE6" w:rsidP="001D1831">
      <w:pPr>
        <w:pStyle w:val="Nadpis3"/>
        <w:keepLines w:val="0"/>
        <w:numPr>
          <w:ilvl w:val="2"/>
          <w:numId w:val="0"/>
        </w:numPr>
        <w:spacing w:before="240" w:after="210" w:line="210" w:lineRule="atLeast"/>
        <w:contextualSpacing/>
        <w:jc w:val="both"/>
        <w:rPr>
          <w:rFonts w:asciiTheme="minorHAnsi" w:eastAsiaTheme="minorHAnsi" w:hAnsiTheme="minorHAnsi" w:cstheme="minorHAnsi"/>
          <w:color w:val="auto"/>
          <w:u w:val="single"/>
          <w:lang w:eastAsia="en-US"/>
        </w:rPr>
      </w:pPr>
      <w:bookmarkStart w:id="1" w:name="_Toc482084782"/>
      <w:r w:rsidRPr="001D1831">
        <w:rPr>
          <w:rFonts w:asciiTheme="minorHAnsi" w:eastAsiaTheme="minorHAnsi" w:hAnsiTheme="minorHAnsi" w:cstheme="minorHAnsi"/>
          <w:color w:val="auto"/>
          <w:u w:val="single"/>
          <w:lang w:eastAsia="en-US"/>
        </w:rPr>
        <w:t>Kritéria hodnocení</w:t>
      </w:r>
      <w:bookmarkEnd w:id="1"/>
    </w:p>
    <w:p w:rsidR="00FB57D0" w:rsidRDefault="00A12FE6" w:rsidP="00A8783C">
      <w:pPr>
        <w:autoSpaceDE w:val="0"/>
        <w:autoSpaceDN w:val="0"/>
        <w:adjustRightInd w:val="0"/>
        <w:spacing w:line="240" w:lineRule="auto"/>
        <w:jc w:val="both"/>
        <w:rPr>
          <w:rFonts w:eastAsiaTheme="minorHAnsi"/>
          <w:lang w:eastAsia="en-US"/>
        </w:rPr>
      </w:pPr>
      <w:r w:rsidRPr="006F0A08">
        <w:rPr>
          <w:rFonts w:eastAsiaTheme="minorHAnsi"/>
          <w:lang w:eastAsia="en-US"/>
        </w:rPr>
        <w:t xml:space="preserve">Jako hodnotící kritérium pro výběr nabídky může být ekonomická výhodnost nabídky, nebo nejnižší nabídková cena. </w:t>
      </w:r>
    </w:p>
    <w:p w:rsidR="00A12FE6" w:rsidRPr="006F0A08" w:rsidRDefault="00A12FE6" w:rsidP="00A8783C">
      <w:pPr>
        <w:autoSpaceDE w:val="0"/>
        <w:autoSpaceDN w:val="0"/>
        <w:adjustRightInd w:val="0"/>
        <w:spacing w:line="240" w:lineRule="auto"/>
        <w:jc w:val="both"/>
        <w:rPr>
          <w:rFonts w:eastAsiaTheme="minorHAnsi"/>
          <w:lang w:eastAsia="en-US"/>
        </w:rPr>
      </w:pPr>
      <w:r w:rsidRPr="006F0A08">
        <w:rPr>
          <w:rFonts w:eastAsiaTheme="minorHAnsi"/>
          <w:lang w:eastAsia="en-US"/>
        </w:rPr>
        <w:lastRenderedPageBreak/>
        <w:t xml:space="preserve">Dílčí hodnotící kritéria se musí vztahovat k nabízenému plnění zakázky. Mohou jimi být zejména nabídková cena, kvalita, technická úroveň nabízeného plnění, estetické a funkční vlastnosti. </w:t>
      </w:r>
    </w:p>
    <w:p w:rsidR="00A12FE6" w:rsidRDefault="00A12FE6" w:rsidP="00A8783C">
      <w:pPr>
        <w:autoSpaceDE w:val="0"/>
        <w:autoSpaceDN w:val="0"/>
        <w:adjustRightInd w:val="0"/>
        <w:spacing w:line="240" w:lineRule="auto"/>
        <w:jc w:val="both"/>
        <w:rPr>
          <w:rFonts w:eastAsiaTheme="minorHAnsi"/>
          <w:lang w:eastAsia="en-US"/>
        </w:rPr>
      </w:pPr>
      <w:r w:rsidRPr="006F0A08">
        <w:rPr>
          <w:rFonts w:eastAsiaTheme="minorHAnsi"/>
          <w:lang w:eastAsia="en-US"/>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rsidR="00A12FE6" w:rsidRPr="00AF54F9" w:rsidRDefault="00A12FE6" w:rsidP="00A12FE6">
      <w:pPr>
        <w:pStyle w:val="Nadpis3"/>
        <w:keepLines w:val="0"/>
        <w:numPr>
          <w:ilvl w:val="2"/>
          <w:numId w:val="0"/>
        </w:numPr>
        <w:spacing w:before="240" w:after="210" w:line="210" w:lineRule="atLeast"/>
        <w:ind w:left="709" w:hanging="720"/>
        <w:contextualSpacing/>
        <w:jc w:val="both"/>
        <w:rPr>
          <w:rFonts w:asciiTheme="minorHAnsi" w:eastAsiaTheme="minorHAnsi" w:hAnsiTheme="minorHAnsi" w:cstheme="minorHAnsi"/>
          <w:color w:val="auto"/>
          <w:u w:val="single"/>
          <w:lang w:eastAsia="en-US"/>
        </w:rPr>
      </w:pPr>
      <w:bookmarkStart w:id="2" w:name="_Toc482084783"/>
      <w:r w:rsidRPr="00AF54F9">
        <w:rPr>
          <w:rFonts w:asciiTheme="minorHAnsi" w:eastAsiaTheme="minorHAnsi" w:hAnsiTheme="minorHAnsi" w:cstheme="minorHAnsi"/>
          <w:color w:val="auto"/>
          <w:u w:val="single"/>
          <w:lang w:eastAsia="en-US"/>
        </w:rPr>
        <w:t>Posuzování veřejných zakázek</w:t>
      </w:r>
      <w:r w:rsidRPr="00AF54F9">
        <w:rPr>
          <w:rFonts w:asciiTheme="minorHAnsi" w:eastAsiaTheme="minorHAnsi" w:hAnsiTheme="minorHAnsi" w:cstheme="minorHAnsi"/>
          <w:color w:val="auto"/>
          <w:u w:val="single"/>
          <w:vertAlign w:val="superscript"/>
        </w:rPr>
        <w:footnoteReference w:id="1"/>
      </w:r>
      <w:bookmarkEnd w:id="2"/>
    </w:p>
    <w:p w:rsidR="00A12FE6" w:rsidRPr="00BA6921" w:rsidRDefault="00A12FE6" w:rsidP="007B577D">
      <w:pPr>
        <w:autoSpaceDE w:val="0"/>
        <w:autoSpaceDN w:val="0"/>
        <w:adjustRightInd w:val="0"/>
        <w:spacing w:line="240" w:lineRule="auto"/>
        <w:jc w:val="both"/>
        <w:rPr>
          <w:rFonts w:eastAsiaTheme="minorHAnsi"/>
          <w:lang w:eastAsia="en-US"/>
        </w:rPr>
      </w:pPr>
      <w:r w:rsidRPr="006F0A08">
        <w:rPr>
          <w:rFonts w:eastAsiaTheme="minorHAnsi"/>
          <w:lang w:eastAsia="en-US"/>
        </w:rPr>
        <w:t xml:space="preserve">U všech zakázek, </w:t>
      </w:r>
      <w:r w:rsidRPr="006F0A08">
        <w:rPr>
          <w:rFonts w:eastAsiaTheme="minorHAnsi"/>
          <w:b/>
          <w:bCs/>
          <w:lang w:eastAsia="en-US"/>
        </w:rPr>
        <w:t xml:space="preserve">u kterých bude zadávací řízení </w:t>
      </w:r>
      <w:r w:rsidRPr="009D0902">
        <w:rPr>
          <w:rFonts w:eastAsiaTheme="minorHAnsi"/>
          <w:b/>
          <w:bCs/>
          <w:lang w:eastAsia="en-US"/>
        </w:rPr>
        <w:t xml:space="preserve">vyhlášeno po vydání </w:t>
      </w:r>
      <w:r w:rsidR="0001494F" w:rsidRPr="009D0902">
        <w:rPr>
          <w:rFonts w:eastAsiaTheme="minorHAnsi"/>
          <w:b/>
          <w:bCs/>
          <w:lang w:eastAsia="en-US"/>
        </w:rPr>
        <w:t>Oznámení o výsledku jednání RV</w:t>
      </w:r>
      <w:r w:rsidRPr="009D0902">
        <w:rPr>
          <w:rFonts w:eastAsiaTheme="minorHAnsi"/>
          <w:b/>
          <w:bCs/>
          <w:lang w:eastAsia="en-US"/>
        </w:rPr>
        <w:t xml:space="preserve">/podpisu Smlouvy </w:t>
      </w:r>
      <w:r w:rsidRPr="009D0902">
        <w:rPr>
          <w:rFonts w:eastAsiaTheme="minorHAnsi"/>
          <w:lang w:eastAsia="en-US"/>
        </w:rPr>
        <w:t>a jejichž</w:t>
      </w:r>
      <w:r w:rsidRPr="009D0902">
        <w:rPr>
          <w:rFonts w:eastAsiaTheme="minorHAnsi"/>
          <w:b/>
          <w:bCs/>
          <w:lang w:eastAsia="en-US"/>
        </w:rPr>
        <w:t xml:space="preserve"> předpokládaná hodnota v Kč bez DPH je 400 000 Kč a vyšší, resp. 500 000 Kč a vyšší </w:t>
      </w:r>
      <w:r w:rsidRPr="009D0902">
        <w:rPr>
          <w:rFonts w:eastAsiaTheme="minorHAnsi"/>
          <w:lang w:eastAsia="en-US"/>
        </w:rPr>
        <w:t xml:space="preserve">v případě, že </w:t>
      </w:r>
      <w:bookmarkStart w:id="3" w:name="OLE_LINK1"/>
      <w:bookmarkStart w:id="4" w:name="OLE_LINK2"/>
      <w:r w:rsidRPr="009D0902">
        <w:rPr>
          <w:rFonts w:eastAsiaTheme="minorHAnsi"/>
          <w:lang w:eastAsia="en-US"/>
        </w:rPr>
        <w:t>konečný uživatel</w:t>
      </w:r>
      <w:bookmarkEnd w:id="3"/>
      <w:bookmarkEnd w:id="4"/>
      <w:r w:rsidR="006F47FA" w:rsidRPr="009D0902">
        <w:rPr>
          <w:rFonts w:eastAsiaTheme="minorHAnsi"/>
          <w:lang w:eastAsia="en-US"/>
        </w:rPr>
        <w:t xml:space="preserve"> </w:t>
      </w:r>
      <w:r w:rsidRPr="009D0902">
        <w:rPr>
          <w:rFonts w:eastAsiaTheme="minorHAnsi" w:cs="Times New Roman"/>
          <w:lang w:eastAsia="en-US"/>
        </w:rPr>
        <w:t>není zadavatelem dle § 4 zákona č. 134/2016 Sb., o veřejných zakázkách</w:t>
      </w:r>
      <w:r w:rsidRPr="009D0902">
        <w:rPr>
          <w:rStyle w:val="Znakapoznpodarou"/>
          <w:rFonts w:eastAsiaTheme="minorHAnsi" w:cs="Times New Roman"/>
          <w:sz w:val="16"/>
          <w:szCs w:val="16"/>
        </w:rPr>
        <w:footnoteReference w:id="2"/>
      </w:r>
      <w:r w:rsidR="006F47FA" w:rsidRPr="009D0902">
        <w:rPr>
          <w:rFonts w:eastAsiaTheme="minorHAnsi"/>
          <w:lang w:eastAsia="en-US"/>
        </w:rPr>
        <w:t xml:space="preserve">, </w:t>
      </w:r>
      <w:r w:rsidRPr="009D0902">
        <w:rPr>
          <w:rFonts w:eastAsiaTheme="minorHAnsi"/>
          <w:b/>
          <w:lang w:eastAsia="en-US"/>
        </w:rPr>
        <w:t>je konečný</w:t>
      </w:r>
      <w:r w:rsidRPr="009D0902">
        <w:rPr>
          <w:rFonts w:eastAsia="Calibri"/>
          <w:b/>
          <w:lang w:eastAsia="en-US"/>
        </w:rPr>
        <w:t xml:space="preserve"> uživatel</w:t>
      </w:r>
      <w:r w:rsidRPr="009D0902">
        <w:rPr>
          <w:rFonts w:eastAsiaTheme="minorHAnsi"/>
          <w:b/>
          <w:lang w:eastAsia="en-US"/>
        </w:rPr>
        <w:t xml:space="preserve"> povinen předložit Správci </w:t>
      </w:r>
      <w:r w:rsidR="0076101B" w:rsidRPr="009D0902">
        <w:rPr>
          <w:rFonts w:eastAsiaTheme="minorHAnsi"/>
          <w:b/>
          <w:lang w:eastAsia="en-US"/>
        </w:rPr>
        <w:t>k ověření</w:t>
      </w:r>
      <w:r w:rsidRPr="009D0902">
        <w:rPr>
          <w:rFonts w:eastAsiaTheme="minorHAnsi"/>
          <w:b/>
          <w:lang w:eastAsia="en-US"/>
        </w:rPr>
        <w:t xml:space="preserve"> </w:t>
      </w:r>
      <w:r w:rsidR="007375C1" w:rsidRPr="009D0902">
        <w:rPr>
          <w:rFonts w:eastAsiaTheme="minorHAnsi"/>
          <w:b/>
          <w:lang w:eastAsia="en-US"/>
        </w:rPr>
        <w:t>s</w:t>
      </w:r>
      <w:r w:rsidR="00454208" w:rsidRPr="009D0902">
        <w:rPr>
          <w:rFonts w:eastAsiaTheme="minorHAnsi"/>
          <w:b/>
          <w:lang w:eastAsia="en-US"/>
        </w:rPr>
        <w:t xml:space="preserve">polečně se Závěrečnou zprávou </w:t>
      </w:r>
      <w:r w:rsidRPr="009D0902">
        <w:rPr>
          <w:rFonts w:eastAsiaTheme="minorHAnsi"/>
          <w:b/>
          <w:lang w:eastAsia="en-US"/>
        </w:rPr>
        <w:t xml:space="preserve">následující </w:t>
      </w:r>
      <w:r w:rsidRPr="009D0902">
        <w:rPr>
          <w:rFonts w:eastAsiaTheme="minorHAnsi"/>
          <w:b/>
          <w:bCs/>
          <w:lang w:eastAsia="en-US"/>
        </w:rPr>
        <w:t>dokumenty</w:t>
      </w:r>
      <w:r w:rsidRPr="009D0902">
        <w:rPr>
          <w:rFonts w:eastAsiaTheme="minorHAnsi"/>
          <w:lang w:eastAsia="en-US"/>
        </w:rPr>
        <w:t>:</w:t>
      </w:r>
      <w:r w:rsidRPr="00BA6921">
        <w:rPr>
          <w:rFonts w:eastAsiaTheme="minorHAnsi"/>
          <w:lang w:eastAsia="en-US"/>
        </w:rPr>
        <w:t xml:space="preserve"> </w:t>
      </w:r>
    </w:p>
    <w:p w:rsidR="00A12FE6" w:rsidRPr="00D05711" w:rsidRDefault="00A12FE6" w:rsidP="00DD3F51">
      <w:pPr>
        <w:pStyle w:val="Odstavecseseznamem"/>
        <w:numPr>
          <w:ilvl w:val="0"/>
          <w:numId w:val="16"/>
        </w:numPr>
        <w:autoSpaceDE w:val="0"/>
        <w:autoSpaceDN w:val="0"/>
        <w:adjustRightInd w:val="0"/>
        <w:spacing w:line="240" w:lineRule="auto"/>
        <w:jc w:val="both"/>
        <w:rPr>
          <w:rFonts w:eastAsiaTheme="minorHAnsi"/>
          <w:lang w:eastAsia="en-US"/>
        </w:rPr>
      </w:pPr>
      <w:r w:rsidRPr="00D05711">
        <w:rPr>
          <w:rFonts w:eastAsiaTheme="minorHAnsi"/>
          <w:b/>
          <w:bCs/>
          <w:lang w:eastAsia="en-US"/>
        </w:rPr>
        <w:t xml:space="preserve">zadávací dokumentaci, příp. výzvu </w:t>
      </w:r>
      <w:r w:rsidRPr="00D05711">
        <w:rPr>
          <w:rFonts w:eastAsiaTheme="minorHAnsi"/>
          <w:lang w:eastAsia="en-US"/>
        </w:rPr>
        <w:t xml:space="preserve">(pokud zároveň plní funkci zadávací dokumentace); </w:t>
      </w:r>
    </w:p>
    <w:p w:rsidR="00A12FE6" w:rsidRPr="00D05711" w:rsidRDefault="00A12FE6" w:rsidP="00DD3F51">
      <w:pPr>
        <w:pStyle w:val="Odstavecseseznamem"/>
        <w:numPr>
          <w:ilvl w:val="0"/>
          <w:numId w:val="16"/>
        </w:numPr>
        <w:autoSpaceDE w:val="0"/>
        <w:autoSpaceDN w:val="0"/>
        <w:adjustRightInd w:val="0"/>
        <w:spacing w:line="240" w:lineRule="auto"/>
        <w:jc w:val="both"/>
        <w:rPr>
          <w:rFonts w:eastAsiaTheme="minorHAnsi"/>
          <w:lang w:eastAsia="en-US"/>
        </w:rPr>
      </w:pPr>
      <w:r w:rsidRPr="00D05711">
        <w:rPr>
          <w:rFonts w:eastAsiaTheme="minorHAnsi"/>
          <w:b/>
          <w:bCs/>
          <w:lang w:eastAsia="en-US"/>
        </w:rPr>
        <w:t xml:space="preserve">kalkulaci předpokládané hodnoty veřejné zakázky vč. zdůvodnění této kalkulace </w:t>
      </w:r>
      <w:r w:rsidRPr="006F0A08">
        <w:rPr>
          <w:rStyle w:val="Znakapoznpodarou"/>
          <w:rFonts w:eastAsiaTheme="minorHAnsi"/>
          <w:sz w:val="16"/>
          <w:szCs w:val="16"/>
        </w:rPr>
        <w:footnoteReference w:id="3"/>
      </w:r>
      <w:r w:rsidRPr="00D05711">
        <w:rPr>
          <w:rFonts w:eastAsiaTheme="minorHAnsi"/>
          <w:lang w:eastAsia="en-US"/>
        </w:rPr>
        <w:t xml:space="preserve">(uvedení z jakých údajů a informací partner vycházel při stanovování předpokládaných cen). </w:t>
      </w:r>
    </w:p>
    <w:p w:rsidR="00D05711" w:rsidRPr="00D05711" w:rsidRDefault="00D05711"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D05711">
        <w:rPr>
          <w:rFonts w:eastAsiaTheme="minorHAnsi"/>
          <w:b/>
          <w:bCs/>
          <w:lang w:eastAsia="en-US"/>
        </w:rPr>
        <w:t>text oznámení o zahájení zadávacího řízení</w:t>
      </w:r>
      <w:r w:rsidRPr="00BA6921">
        <w:rPr>
          <w:rStyle w:val="Znakapoznpodarou"/>
          <w:rFonts w:eastAsiaTheme="minorHAnsi"/>
          <w:b/>
          <w:bCs/>
          <w:sz w:val="16"/>
          <w:szCs w:val="16"/>
        </w:rPr>
        <w:footnoteReference w:id="4"/>
      </w:r>
      <w:r w:rsidRPr="00D05711">
        <w:rPr>
          <w:rFonts w:eastAsiaTheme="minorHAnsi"/>
          <w:b/>
          <w:bCs/>
          <w:sz w:val="16"/>
          <w:szCs w:val="16"/>
          <w:lang w:eastAsia="en-US"/>
        </w:rPr>
        <w:t>,</w:t>
      </w:r>
      <w:r w:rsidRPr="00D05711">
        <w:rPr>
          <w:rFonts w:eastAsiaTheme="minorHAnsi"/>
          <w:b/>
          <w:bCs/>
          <w:lang w:eastAsia="en-US"/>
        </w:rPr>
        <w:t xml:space="preserve"> </w:t>
      </w:r>
      <w:r w:rsidRPr="00D05711">
        <w:rPr>
          <w:rFonts w:eastAsiaTheme="minorHAnsi"/>
          <w:lang w:eastAsia="en-US"/>
        </w:rPr>
        <w:t xml:space="preserve">resp. </w:t>
      </w:r>
      <w:r w:rsidRPr="00D05711">
        <w:rPr>
          <w:rFonts w:eastAsiaTheme="minorHAnsi"/>
          <w:b/>
          <w:bCs/>
          <w:lang w:eastAsia="en-US"/>
        </w:rPr>
        <w:t xml:space="preserve">výzvy </w:t>
      </w:r>
      <w:r w:rsidRPr="00D05711">
        <w:rPr>
          <w:rFonts w:eastAsiaTheme="minorHAnsi"/>
          <w:lang w:eastAsia="en-US"/>
        </w:rPr>
        <w:t xml:space="preserve">zaslané požadovanému počtu potenciálních dodavatelů k podání nabídky a dalších dokumentů vymezujících předmět zakázky (např. zadávací dokumentace, je-li povinnost ji zpracovat) vč. dokladů prokazujících jejich odeslání / zveřejnění, </w:t>
      </w:r>
    </w:p>
    <w:p w:rsidR="00D05711" w:rsidRPr="00D05711" w:rsidRDefault="00D05711"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D05711">
        <w:rPr>
          <w:rFonts w:eastAsiaTheme="minorHAnsi"/>
          <w:b/>
          <w:bCs/>
          <w:lang w:eastAsia="en-US"/>
        </w:rPr>
        <w:t xml:space="preserve">vítěznou nabídku </w:t>
      </w:r>
      <w:r w:rsidRPr="00D05711">
        <w:rPr>
          <w:rFonts w:eastAsiaTheme="minorHAnsi"/>
          <w:lang w:eastAsia="en-US"/>
        </w:rPr>
        <w:t xml:space="preserve">podanou uchazečem na základě oznámení o zahájení zadávacího řízení, resp. výzvy zadavatele nebo jiné informace či ceníky, z nichž vyplývá plnění nabízené uchazečem; </w:t>
      </w:r>
    </w:p>
    <w:p w:rsidR="00D05711" w:rsidRPr="00D05711" w:rsidRDefault="00D05711"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D05711">
        <w:rPr>
          <w:rFonts w:eastAsiaTheme="minorHAnsi"/>
          <w:b/>
          <w:bCs/>
          <w:lang w:eastAsia="en-US"/>
        </w:rPr>
        <w:t xml:space="preserve">protokol o otevírání obálek </w:t>
      </w:r>
      <w:r w:rsidRPr="00D05711">
        <w:rPr>
          <w:rFonts w:eastAsiaTheme="minorHAnsi"/>
          <w:lang w:eastAsia="en-US"/>
        </w:rPr>
        <w:t xml:space="preserve">(není vyžadován, pokud jsou informace o otevírání obálek zahrnuty ve zprávě/protokolu o posouzení a hodnocení nabídek) podepsaný členy komise pro otevírání obálek; </w:t>
      </w:r>
    </w:p>
    <w:p w:rsidR="00D05711" w:rsidRPr="00D05711" w:rsidRDefault="00D05711"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D05711">
        <w:rPr>
          <w:rFonts w:eastAsiaTheme="minorHAnsi"/>
          <w:b/>
          <w:bCs/>
          <w:lang w:eastAsia="en-US"/>
        </w:rPr>
        <w:t xml:space="preserve">zpráva/protokol o posouzení a hodnocení podaných nabídek </w:t>
      </w:r>
      <w:r w:rsidRPr="00D05711">
        <w:rPr>
          <w:rFonts w:eastAsiaTheme="minorHAnsi"/>
          <w:lang w:eastAsia="en-US"/>
        </w:rPr>
        <w:t xml:space="preserve">podepsaný členy hodnotící komise, včetně dokladů o jmenování hodnotící komise a prohlášeních o nepodjatosti všech jejich členů; </w:t>
      </w:r>
    </w:p>
    <w:p w:rsidR="00D05711" w:rsidRPr="00D05711" w:rsidRDefault="00D05711"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D05711">
        <w:rPr>
          <w:rFonts w:eastAsiaTheme="minorHAnsi"/>
          <w:b/>
          <w:bCs/>
          <w:lang w:eastAsia="en-US"/>
        </w:rPr>
        <w:t>rozhodnutí zadavatele o přidělení zakázky</w:t>
      </w:r>
      <w:r w:rsidRPr="00D05711">
        <w:rPr>
          <w:rFonts w:eastAsiaTheme="minorHAnsi"/>
          <w:lang w:eastAsia="en-US"/>
        </w:rPr>
        <w:t xml:space="preserve">, vč. dokumentů prokazujících jeho odeslání všem dotčeným uchazečům a zájemcům; </w:t>
      </w:r>
    </w:p>
    <w:p w:rsidR="00D05711" w:rsidRPr="00D05711" w:rsidRDefault="00D05711"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D05711">
        <w:rPr>
          <w:rFonts w:eastAsiaTheme="minorHAnsi"/>
          <w:b/>
          <w:bCs/>
          <w:lang w:eastAsia="en-US"/>
        </w:rPr>
        <w:t>uzavřenou smlouvu s vybraným dodavatelem</w:t>
      </w:r>
      <w:r w:rsidRPr="00D05711">
        <w:rPr>
          <w:rFonts w:eastAsiaTheme="minorHAnsi"/>
          <w:lang w:eastAsia="en-US"/>
        </w:rPr>
        <w:t xml:space="preserve">, vč. případných dodatků k ní; </w:t>
      </w:r>
    </w:p>
    <w:p w:rsidR="00D05711" w:rsidRPr="00A22164" w:rsidRDefault="00D05711" w:rsidP="00A22164">
      <w:pPr>
        <w:pStyle w:val="Odstavecseseznamem"/>
        <w:numPr>
          <w:ilvl w:val="0"/>
          <w:numId w:val="16"/>
        </w:numPr>
        <w:autoSpaceDE w:val="0"/>
        <w:autoSpaceDN w:val="0"/>
        <w:adjustRightInd w:val="0"/>
        <w:spacing w:line="240" w:lineRule="auto"/>
        <w:ind w:left="714" w:hanging="357"/>
        <w:jc w:val="both"/>
        <w:rPr>
          <w:rFonts w:eastAsiaTheme="minorHAnsi"/>
          <w:lang w:eastAsia="en-US"/>
        </w:rPr>
      </w:pPr>
      <w:r w:rsidRPr="00D05711">
        <w:rPr>
          <w:rFonts w:eastAsiaTheme="minorHAnsi"/>
          <w:b/>
          <w:lang w:eastAsia="en-US"/>
        </w:rPr>
        <w:lastRenderedPageBreak/>
        <w:t>t</w:t>
      </w:r>
      <w:r w:rsidRPr="00D05711">
        <w:rPr>
          <w:rFonts w:eastAsiaTheme="minorHAnsi"/>
          <w:b/>
          <w:bCs/>
          <w:lang w:eastAsia="en-US"/>
        </w:rPr>
        <w:t xml:space="preserve">ext oznámení o výsledku zadávacího řízení </w:t>
      </w:r>
      <w:r w:rsidRPr="00D05711">
        <w:rPr>
          <w:rFonts w:eastAsiaTheme="minorHAnsi"/>
          <w:lang w:eastAsia="en-US"/>
        </w:rPr>
        <w:t xml:space="preserve">zaslaný všem uchazečům, kteří podali nabídku v řádném termínu pro podání nabídek, vč. dokladů prokazujících jejich odeslání. </w:t>
      </w:r>
    </w:p>
    <w:p w:rsidR="00D05711" w:rsidRDefault="00D05711" w:rsidP="00D05711">
      <w:pPr>
        <w:autoSpaceDE w:val="0"/>
        <w:autoSpaceDN w:val="0"/>
        <w:adjustRightInd w:val="0"/>
        <w:spacing w:line="240" w:lineRule="auto"/>
        <w:jc w:val="both"/>
        <w:rPr>
          <w:rFonts w:eastAsiaTheme="minorHAnsi"/>
          <w:lang w:eastAsia="en-US"/>
        </w:rPr>
      </w:pPr>
      <w:r w:rsidRPr="00BA6921">
        <w:rPr>
          <w:rFonts w:eastAsiaTheme="minorHAnsi"/>
          <w:lang w:eastAsia="en-US"/>
        </w:rPr>
        <w:t xml:space="preserve">Nad rámec těchto dokumentů </w:t>
      </w:r>
      <w:r w:rsidR="00B767B8">
        <w:rPr>
          <w:rFonts w:eastAsiaTheme="minorHAnsi"/>
          <w:lang w:eastAsia="en-US"/>
        </w:rPr>
        <w:t>konečný uživatel</w:t>
      </w:r>
      <w:r w:rsidRPr="00BA6921">
        <w:rPr>
          <w:rFonts w:eastAsiaTheme="minorHAnsi"/>
          <w:lang w:eastAsia="en-US"/>
        </w:rPr>
        <w:t xml:space="preserve"> dále </w:t>
      </w:r>
      <w:r w:rsidR="00E06BCA">
        <w:rPr>
          <w:rFonts w:eastAsiaTheme="minorHAnsi"/>
          <w:lang w:eastAsia="en-US"/>
        </w:rPr>
        <w:t xml:space="preserve">Správci </w:t>
      </w:r>
      <w:r w:rsidRPr="00BA6921">
        <w:rPr>
          <w:rFonts w:eastAsiaTheme="minorHAnsi"/>
          <w:lang w:eastAsia="en-US"/>
        </w:rPr>
        <w:t xml:space="preserve">předloží: </w:t>
      </w:r>
    </w:p>
    <w:p w:rsidR="00E06BCA" w:rsidRPr="00E06BCA" w:rsidRDefault="00E06BCA"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E06BCA">
        <w:rPr>
          <w:rFonts w:eastAsiaTheme="minorHAnsi"/>
          <w:b/>
          <w:lang w:eastAsia="en-US"/>
        </w:rPr>
        <w:t xml:space="preserve">všechny </w:t>
      </w:r>
      <w:r w:rsidR="009942E8">
        <w:rPr>
          <w:rFonts w:eastAsiaTheme="minorHAnsi"/>
          <w:b/>
          <w:lang w:eastAsia="en-US"/>
        </w:rPr>
        <w:t>posuzované</w:t>
      </w:r>
      <w:r w:rsidRPr="00E06BCA">
        <w:rPr>
          <w:rFonts w:eastAsiaTheme="minorHAnsi"/>
          <w:b/>
          <w:lang w:eastAsia="en-US"/>
        </w:rPr>
        <w:t xml:space="preserve"> nabídky</w:t>
      </w:r>
      <w:r>
        <w:rPr>
          <w:rFonts w:eastAsiaTheme="minorHAnsi"/>
          <w:lang w:eastAsia="en-US"/>
        </w:rPr>
        <w:t>,</w:t>
      </w:r>
    </w:p>
    <w:p w:rsidR="00D05711" w:rsidRPr="00BA6921" w:rsidRDefault="00D05711" w:rsidP="00DD3F51">
      <w:pPr>
        <w:pStyle w:val="Odstavecseseznamem"/>
        <w:numPr>
          <w:ilvl w:val="0"/>
          <w:numId w:val="16"/>
        </w:numPr>
        <w:autoSpaceDE w:val="0"/>
        <w:autoSpaceDN w:val="0"/>
        <w:adjustRightInd w:val="0"/>
        <w:spacing w:after="0" w:line="240" w:lineRule="auto"/>
        <w:jc w:val="both"/>
        <w:rPr>
          <w:rFonts w:eastAsiaTheme="minorHAnsi"/>
          <w:lang w:eastAsia="en-US"/>
        </w:rPr>
      </w:pPr>
      <w:r w:rsidRPr="00BA6921">
        <w:rPr>
          <w:rFonts w:eastAsiaTheme="minorHAnsi"/>
          <w:b/>
          <w:bCs/>
          <w:lang w:eastAsia="en-US"/>
        </w:rPr>
        <w:t>nabídky, které byly v průběhu zadávacího řízení vyřazeny</w:t>
      </w:r>
      <w:r w:rsidRPr="00BA6921">
        <w:rPr>
          <w:rFonts w:eastAsiaTheme="minorHAnsi"/>
          <w:lang w:eastAsia="en-US"/>
        </w:rPr>
        <w:t xml:space="preserve">, pokud k vyřazení nějaké nabídky došlo; </w:t>
      </w:r>
    </w:p>
    <w:p w:rsidR="00113146" w:rsidRPr="00113146" w:rsidRDefault="00D05711" w:rsidP="00113146">
      <w:pPr>
        <w:pStyle w:val="Odstavecseseznamem"/>
        <w:numPr>
          <w:ilvl w:val="0"/>
          <w:numId w:val="16"/>
        </w:numPr>
        <w:autoSpaceDE w:val="0"/>
        <w:autoSpaceDN w:val="0"/>
        <w:adjustRightInd w:val="0"/>
        <w:spacing w:line="240" w:lineRule="auto"/>
        <w:ind w:left="714" w:hanging="357"/>
        <w:jc w:val="both"/>
        <w:rPr>
          <w:rFonts w:eastAsiaTheme="minorHAnsi"/>
          <w:lang w:eastAsia="en-US"/>
        </w:rPr>
      </w:pPr>
      <w:r w:rsidRPr="00BA6921">
        <w:rPr>
          <w:rFonts w:eastAsiaTheme="minorHAnsi"/>
          <w:b/>
          <w:bCs/>
          <w:lang w:eastAsia="en-US"/>
        </w:rPr>
        <w:t xml:space="preserve">písemnou informaci o způsobu vyřešení námitek </w:t>
      </w:r>
      <w:r w:rsidRPr="00BA6921">
        <w:rPr>
          <w:rFonts w:eastAsiaTheme="minorHAnsi"/>
          <w:lang w:eastAsia="en-US"/>
        </w:rPr>
        <w:t xml:space="preserve">(odvolání) podaných některými uchazeči, pokud v rámci zadávacího řízení nějaké námitky (odvolání) byly podány. </w:t>
      </w:r>
    </w:p>
    <w:p w:rsidR="00A12FE6" w:rsidRPr="009D0902" w:rsidRDefault="00A12FE6" w:rsidP="00F17294">
      <w:pPr>
        <w:autoSpaceDE w:val="0"/>
        <w:autoSpaceDN w:val="0"/>
        <w:adjustRightInd w:val="0"/>
        <w:spacing w:line="240" w:lineRule="auto"/>
        <w:jc w:val="both"/>
        <w:rPr>
          <w:rFonts w:eastAsiaTheme="minorHAnsi"/>
          <w:lang w:eastAsia="en-US"/>
        </w:rPr>
      </w:pPr>
      <w:r w:rsidRPr="00F17294">
        <w:rPr>
          <w:rFonts w:eastAsiaTheme="minorHAnsi"/>
          <w:lang w:eastAsia="en-US"/>
        </w:rPr>
        <w:t xml:space="preserve">V případě, že </w:t>
      </w:r>
      <w:r w:rsidRPr="009D0902">
        <w:rPr>
          <w:rFonts w:eastAsiaTheme="minorHAnsi"/>
          <w:lang w:eastAsia="en-US"/>
        </w:rPr>
        <w:t xml:space="preserve">dokumentace předložená </w:t>
      </w:r>
      <w:r w:rsidR="007F6596" w:rsidRPr="009D0902">
        <w:rPr>
          <w:rFonts w:eastAsiaTheme="minorHAnsi"/>
          <w:lang w:eastAsia="en-US"/>
        </w:rPr>
        <w:t>konečným uživatelem</w:t>
      </w:r>
      <w:r w:rsidRPr="009D0902">
        <w:rPr>
          <w:rFonts w:eastAsiaTheme="minorHAnsi"/>
          <w:lang w:eastAsia="en-US"/>
        </w:rPr>
        <w:t xml:space="preserve"> není kompletní, nebo Správce potřebuje k posouzení předložené dokumentace další doplňující informace, </w:t>
      </w:r>
      <w:r w:rsidR="00285CA2" w:rsidRPr="009D0902">
        <w:rPr>
          <w:rFonts w:eastAsiaTheme="minorHAnsi"/>
          <w:lang w:eastAsia="en-US"/>
        </w:rPr>
        <w:t xml:space="preserve">má právo si je v rámci </w:t>
      </w:r>
      <w:r w:rsidR="009942E8" w:rsidRPr="009D0902">
        <w:rPr>
          <w:rFonts w:eastAsiaTheme="minorHAnsi"/>
          <w:lang w:eastAsia="en-US"/>
        </w:rPr>
        <w:t>ověření</w:t>
      </w:r>
      <w:r w:rsidR="00285CA2" w:rsidRPr="009D0902">
        <w:rPr>
          <w:rFonts w:eastAsiaTheme="minorHAnsi"/>
          <w:lang w:eastAsia="en-US"/>
        </w:rPr>
        <w:t xml:space="preserve"> </w:t>
      </w:r>
      <w:r w:rsidR="00E72330" w:rsidRPr="009D0902">
        <w:rPr>
          <w:rFonts w:eastAsiaTheme="minorHAnsi"/>
          <w:lang w:eastAsia="en-US"/>
        </w:rPr>
        <w:t xml:space="preserve">vyúčtování vyžádat. </w:t>
      </w:r>
    </w:p>
    <w:p w:rsidR="00A12FE6" w:rsidRPr="009D0902" w:rsidRDefault="00A12FE6" w:rsidP="00AE0CE7">
      <w:pPr>
        <w:autoSpaceDE w:val="0"/>
        <w:autoSpaceDN w:val="0"/>
        <w:adjustRightInd w:val="0"/>
        <w:spacing w:line="240" w:lineRule="auto"/>
        <w:jc w:val="both"/>
        <w:rPr>
          <w:rFonts w:eastAsiaTheme="minorHAnsi"/>
          <w:lang w:eastAsia="en-US"/>
        </w:rPr>
      </w:pPr>
      <w:r w:rsidRPr="009D0902">
        <w:rPr>
          <w:rFonts w:eastAsiaTheme="minorHAnsi"/>
          <w:lang w:eastAsia="en-US"/>
        </w:rPr>
        <w:t>Zadavatel</w:t>
      </w:r>
      <w:r w:rsidR="00A93977" w:rsidRPr="009D0902">
        <w:rPr>
          <w:rFonts w:eastAsiaTheme="minorHAnsi"/>
          <w:lang w:eastAsia="en-US"/>
        </w:rPr>
        <w:t>/konečný uživatel</w:t>
      </w:r>
      <w:r w:rsidRPr="009D0902">
        <w:rPr>
          <w:rFonts w:eastAsiaTheme="minorHAnsi"/>
          <w:lang w:eastAsia="en-US"/>
        </w:rPr>
        <w:t xml:space="preserve">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w:t>
      </w:r>
      <w:r w:rsidR="00425BF9" w:rsidRPr="009D0902">
        <w:rPr>
          <w:rFonts w:eastAsia="Calibri"/>
        </w:rPr>
        <w:t xml:space="preserve">pro programové období 2014-2020 </w:t>
      </w:r>
      <w:r w:rsidRPr="009D0902">
        <w:rPr>
          <w:rFonts w:eastAsiaTheme="minorHAnsi"/>
          <w:lang w:eastAsia="en-US"/>
        </w:rPr>
        <w:t xml:space="preserve">(u veřejných zakázek, na které se zákon nevztahuje). </w:t>
      </w:r>
    </w:p>
    <w:p w:rsidR="007B56D9" w:rsidRPr="009D0902" w:rsidRDefault="007B56D9" w:rsidP="007B56D9">
      <w:pPr>
        <w:autoSpaceDE w:val="0"/>
        <w:autoSpaceDN w:val="0"/>
        <w:adjustRightInd w:val="0"/>
        <w:spacing w:after="120" w:line="240" w:lineRule="auto"/>
        <w:rPr>
          <w:b/>
        </w:rPr>
      </w:pPr>
      <w:r w:rsidRPr="009D0902">
        <w:rPr>
          <w:rFonts w:eastAsiaTheme="minorHAnsi"/>
          <w:b/>
          <w:lang w:eastAsia="en-US"/>
        </w:rPr>
        <w:t xml:space="preserve">Správce si může vyžádat další dokumenty nezbytné pro provedení </w:t>
      </w:r>
      <w:r w:rsidR="00075FC5" w:rsidRPr="009D0902">
        <w:rPr>
          <w:rFonts w:eastAsiaTheme="minorHAnsi"/>
          <w:b/>
          <w:lang w:eastAsia="en-US"/>
        </w:rPr>
        <w:t>ověření</w:t>
      </w:r>
      <w:r w:rsidRPr="009D0902">
        <w:rPr>
          <w:rFonts w:eastAsiaTheme="minorHAnsi"/>
          <w:b/>
          <w:lang w:eastAsia="en-US"/>
        </w:rPr>
        <w:t xml:space="preserve"> zadávacího řízení. </w:t>
      </w:r>
    </w:p>
    <w:p w:rsidR="007B56D9" w:rsidRPr="009D0902" w:rsidRDefault="007B56D9" w:rsidP="007B56D9">
      <w:pPr>
        <w:autoSpaceDE w:val="0"/>
        <w:autoSpaceDN w:val="0"/>
        <w:adjustRightInd w:val="0"/>
        <w:spacing w:after="120" w:line="240" w:lineRule="auto"/>
        <w:rPr>
          <w:b/>
          <w:sz w:val="16"/>
          <w:szCs w:val="16"/>
        </w:rPr>
      </w:pPr>
    </w:p>
    <w:tbl>
      <w:tblPr>
        <w:tblpPr w:leftFromText="142" w:rightFromText="142" w:bottomFromText="284" w:vertAnchor="text" w:tblpY="1"/>
        <w:tblOverlap w:val="never"/>
        <w:tblW w:w="9210" w:type="dxa"/>
        <w:tblBorders>
          <w:top w:val="single" w:sz="4" w:space="0" w:color="00B0F0"/>
          <w:left w:val="single" w:sz="4" w:space="0" w:color="00B0F0"/>
          <w:bottom w:val="single" w:sz="4" w:space="0" w:color="00B0F0"/>
          <w:right w:val="single" w:sz="4" w:space="0" w:color="00B0F0"/>
        </w:tblBorders>
        <w:tblLook w:val="04A0" w:firstRow="1" w:lastRow="0" w:firstColumn="1" w:lastColumn="0" w:noHBand="0" w:noVBand="1"/>
      </w:tblPr>
      <w:tblGrid>
        <w:gridCol w:w="1526"/>
        <w:gridCol w:w="7684"/>
      </w:tblGrid>
      <w:tr w:rsidR="00A12FE6" w:rsidTr="002231CD">
        <w:trPr>
          <w:cantSplit/>
        </w:trPr>
        <w:tc>
          <w:tcPr>
            <w:tcW w:w="1526" w:type="dxa"/>
            <w:shd w:val="clear" w:color="auto" w:fill="auto"/>
            <w:vAlign w:val="center"/>
          </w:tcPr>
          <w:p w:rsidR="00A12FE6" w:rsidRPr="009D0902" w:rsidRDefault="00A12FE6" w:rsidP="002231CD">
            <w:pPr>
              <w:ind w:right="-108"/>
              <w:jc w:val="center"/>
              <w:rPr>
                <w:noProof/>
              </w:rPr>
            </w:pPr>
            <w:r w:rsidRPr="009D0902">
              <w:rPr>
                <w:noProof/>
                <w:lang w:eastAsia="ja-JP"/>
              </w:rPr>
              <w:drawing>
                <wp:inline distT="0" distB="0" distL="0" distR="0" wp14:anchorId="334BE106" wp14:editId="01046472">
                  <wp:extent cx="720000" cy="720000"/>
                  <wp:effectExtent l="0" t="0" r="4445" b="4445"/>
                  <wp:docPr id="151" name="Obrázo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84" w:type="dxa"/>
            <w:shd w:val="clear" w:color="auto" w:fill="auto"/>
          </w:tcPr>
          <w:p w:rsidR="00D73129" w:rsidRPr="009D0902" w:rsidRDefault="00D73129" w:rsidP="00D73129">
            <w:pPr>
              <w:spacing w:after="0" w:line="240" w:lineRule="auto"/>
              <w:ind w:left="-45"/>
              <w:jc w:val="both"/>
              <w:rPr>
                <w:rFonts w:eastAsiaTheme="minorHAnsi"/>
                <w:bCs/>
                <w:lang w:eastAsia="en-US"/>
              </w:rPr>
            </w:pPr>
          </w:p>
          <w:p w:rsidR="00A12FE6" w:rsidRDefault="00A12FE6" w:rsidP="00D73129">
            <w:pPr>
              <w:spacing w:after="0" w:line="240" w:lineRule="auto"/>
              <w:ind w:left="-45"/>
              <w:jc w:val="both"/>
              <w:rPr>
                <w:rFonts w:eastAsia="Calibri"/>
              </w:rPr>
            </w:pPr>
            <w:r w:rsidRPr="009D0902">
              <w:rPr>
                <w:rFonts w:eastAsiaTheme="minorHAnsi"/>
                <w:bCs/>
                <w:lang w:eastAsia="en-US"/>
              </w:rPr>
              <w:t>Upozorňujeme, že v případě veřejných zakázek, u kterých je postup zadávání upraven přímo zákonem o veřejných zakázkách</w:t>
            </w:r>
            <w:r w:rsidR="00075FC5" w:rsidRPr="009D0902">
              <w:rPr>
                <w:rFonts w:eastAsiaTheme="minorHAnsi"/>
                <w:bCs/>
                <w:lang w:eastAsia="en-US"/>
              </w:rPr>
              <w:t>,</w:t>
            </w:r>
            <w:r w:rsidRPr="009D0902">
              <w:rPr>
                <w:rFonts w:eastAsiaTheme="minorHAnsi"/>
                <w:bCs/>
                <w:lang w:eastAsia="en-US"/>
              </w:rPr>
              <w:t xml:space="preserve"> zákon stanovuje lhůtu pro uzavření smlouvy.</w:t>
            </w:r>
            <w:r w:rsidRPr="00D61F10">
              <w:rPr>
                <w:rFonts w:eastAsiaTheme="minorHAnsi"/>
                <w:bCs/>
                <w:lang w:eastAsia="en-US"/>
              </w:rPr>
              <w:t xml:space="preserve"> </w:t>
            </w:r>
          </w:p>
        </w:tc>
      </w:tr>
    </w:tbl>
    <w:p w:rsidR="007B56D9" w:rsidRPr="00A22164" w:rsidRDefault="007B56D9" w:rsidP="00A12FE6">
      <w:pPr>
        <w:autoSpaceDE w:val="0"/>
        <w:autoSpaceDN w:val="0"/>
        <w:adjustRightInd w:val="0"/>
        <w:spacing w:after="120" w:line="240" w:lineRule="auto"/>
        <w:rPr>
          <w:rFonts w:eastAsiaTheme="minorHAnsi"/>
          <w:b/>
          <w:sz w:val="16"/>
          <w:szCs w:val="16"/>
          <w:lang w:eastAsia="en-US"/>
        </w:rPr>
      </w:pPr>
    </w:p>
    <w:tbl>
      <w:tblPr>
        <w:tblpPr w:leftFromText="142" w:rightFromText="142" w:bottomFromText="284" w:vertAnchor="text" w:tblpY="1"/>
        <w:tblOverlap w:val="never"/>
        <w:tblW w:w="9210" w:type="dxa"/>
        <w:tblBorders>
          <w:top w:val="single" w:sz="4" w:space="0" w:color="00B0F0"/>
          <w:left w:val="single" w:sz="4" w:space="0" w:color="00B0F0"/>
          <w:bottom w:val="single" w:sz="4" w:space="0" w:color="00B0F0"/>
          <w:right w:val="single" w:sz="4" w:space="0" w:color="00B0F0"/>
        </w:tblBorders>
        <w:tblLook w:val="04A0" w:firstRow="1" w:lastRow="0" w:firstColumn="1" w:lastColumn="0" w:noHBand="0" w:noVBand="1"/>
      </w:tblPr>
      <w:tblGrid>
        <w:gridCol w:w="1526"/>
        <w:gridCol w:w="7684"/>
      </w:tblGrid>
      <w:tr w:rsidR="00A12FE6" w:rsidTr="002231CD">
        <w:trPr>
          <w:cantSplit/>
        </w:trPr>
        <w:tc>
          <w:tcPr>
            <w:tcW w:w="1526" w:type="dxa"/>
            <w:shd w:val="clear" w:color="auto" w:fill="auto"/>
            <w:vAlign w:val="center"/>
          </w:tcPr>
          <w:p w:rsidR="00A12FE6" w:rsidRPr="00042B6C" w:rsidRDefault="00A12FE6" w:rsidP="002231CD">
            <w:pPr>
              <w:ind w:right="-108"/>
              <w:jc w:val="center"/>
              <w:rPr>
                <w:noProof/>
              </w:rPr>
            </w:pPr>
            <w:r w:rsidRPr="00B94E60">
              <w:rPr>
                <w:noProof/>
                <w:lang w:eastAsia="ja-JP"/>
              </w:rPr>
              <w:drawing>
                <wp:inline distT="0" distB="0" distL="0" distR="0">
                  <wp:extent cx="720000" cy="720000"/>
                  <wp:effectExtent l="0" t="0" r="444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684" w:type="dxa"/>
            <w:shd w:val="clear" w:color="auto" w:fill="auto"/>
          </w:tcPr>
          <w:p w:rsidR="00A12FE6" w:rsidRDefault="00A12FE6" w:rsidP="005B3BB8">
            <w:pPr>
              <w:spacing w:after="0" w:line="240" w:lineRule="auto"/>
              <w:ind w:left="-45"/>
              <w:jc w:val="both"/>
              <w:rPr>
                <w:rFonts w:eastAsia="Calibri"/>
              </w:rPr>
            </w:pPr>
            <w:proofErr w:type="gramStart"/>
            <w:r w:rsidRPr="00B94E60">
              <w:rPr>
                <w:rFonts w:eastAsiaTheme="minorHAnsi"/>
                <w:bCs/>
                <w:lang w:eastAsia="en-US"/>
              </w:rPr>
              <w:t>Pozor!:</w:t>
            </w:r>
            <w:proofErr w:type="gramEnd"/>
            <w:r w:rsidRPr="00B94E60">
              <w:rPr>
                <w:rFonts w:eastAsiaTheme="minorHAnsi"/>
                <w:bCs/>
                <w:lang w:eastAsia="en-US"/>
              </w:rPr>
              <w:t xml:space="preserve"> Na základě zákona č</w:t>
            </w:r>
            <w:r w:rsidR="00360F09">
              <w:rPr>
                <w:rFonts w:eastAsiaTheme="minorHAnsi"/>
                <w:bCs/>
                <w:lang w:eastAsia="en-US"/>
              </w:rPr>
              <w:t>.</w:t>
            </w:r>
            <w:r w:rsidRPr="00B94E60">
              <w:rPr>
                <w:rFonts w:eastAsiaTheme="minorHAnsi"/>
                <w:bCs/>
                <w:lang w:eastAsia="en-US"/>
              </w:rPr>
              <w:t xml:space="preserve"> 340/2015 Sb. (zákon o registru smluv) vznikl tzv. registr smluv. </w:t>
            </w:r>
            <w:r w:rsidR="005B3BB8">
              <w:rPr>
                <w:rFonts w:eastAsiaTheme="minorHAnsi"/>
                <w:bCs/>
                <w:lang w:eastAsia="en-US"/>
              </w:rPr>
              <w:t xml:space="preserve">Koneční uživatelé, </w:t>
            </w:r>
            <w:r w:rsidRPr="00B94E60">
              <w:rPr>
                <w:rFonts w:eastAsiaTheme="minorHAnsi"/>
                <w:bCs/>
                <w:lang w:eastAsia="en-US"/>
              </w:rPr>
              <w:t>kteří jsou právnickou osobou uvedenou v čl. 2 odst. 1 tohoto zákona, jsou povinni zveřejňovat v registru smluv soukromoprávní smlouvy, tj. i smlouvy uzavírané s dodavateli v případě, že hodnota předmětu smlouvy je vyšší než 50 000 Kč bez DPH. Dle zákona je povinnost smlouvy zveřejnit nejpozději do 30 dní od uzavření smlouvy. Smlouva, na kterou se vztahuje povinnost zveřejnění v registru smluv, nabývá v souladu s ustanovením § 6 toh</w:t>
            </w:r>
            <w:r w:rsidR="009D0902">
              <w:rPr>
                <w:rFonts w:eastAsiaTheme="minorHAnsi"/>
                <w:bCs/>
                <w:lang w:eastAsia="en-US"/>
              </w:rPr>
              <w:t>o</w:t>
            </w:r>
            <w:r w:rsidRPr="00B94E60">
              <w:rPr>
                <w:rFonts w:eastAsiaTheme="minorHAnsi"/>
                <w:bCs/>
                <w:lang w:eastAsia="en-US"/>
              </w:rPr>
              <w:t>to zákona účinnosti nejdříve dnem jejího zveřejnění. Nebyla</w:t>
            </w:r>
            <w:r>
              <w:rPr>
                <w:rFonts w:eastAsiaTheme="minorHAnsi"/>
                <w:bCs/>
                <w:lang w:eastAsia="en-US"/>
              </w:rPr>
              <w:t>-</w:t>
            </w:r>
            <w:r w:rsidRPr="00B94E60">
              <w:rPr>
                <w:rFonts w:eastAsiaTheme="minorHAnsi"/>
                <w:bCs/>
                <w:lang w:eastAsia="en-US"/>
              </w:rPr>
              <w:t>li smlouva zveřejněna prostřednictvím registru smluv ani do 3 měsíců ode dne, kdy byla uzavřena, je podle § 729 tohoto zákona smlouva zrušena od počátku. V takovém případě budou jakékoliv výdaje vynaložené v souvislosti s takovou smlouvou považovány za nezpůsobilé.</w:t>
            </w:r>
          </w:p>
        </w:tc>
      </w:tr>
    </w:tbl>
    <w:p w:rsidR="00A12FE6" w:rsidRPr="00BA6921" w:rsidRDefault="00A12FE6" w:rsidP="007B56D9">
      <w:pPr>
        <w:autoSpaceDE w:val="0"/>
        <w:autoSpaceDN w:val="0"/>
        <w:adjustRightInd w:val="0"/>
        <w:spacing w:line="240" w:lineRule="auto"/>
        <w:jc w:val="both"/>
        <w:rPr>
          <w:rFonts w:eastAsiaTheme="minorHAnsi"/>
          <w:lang w:eastAsia="en-US"/>
        </w:rPr>
      </w:pPr>
      <w:r w:rsidRPr="00BA6921">
        <w:rPr>
          <w:rFonts w:eastAsiaTheme="minorHAnsi"/>
          <w:lang w:eastAsia="en-US"/>
        </w:rPr>
        <w:t xml:space="preserve">Výše uvedené se netýká případů, kdy došlo k přímému nákupu bez zadávacího řízení (v případě, že to pravidla umožňují). V tomto případě budou </w:t>
      </w:r>
      <w:r w:rsidR="00EB622E">
        <w:rPr>
          <w:rFonts w:eastAsiaTheme="minorHAnsi"/>
          <w:lang w:eastAsia="en-US"/>
        </w:rPr>
        <w:t>ověřo</w:t>
      </w:r>
      <w:r w:rsidRPr="00BA6921">
        <w:rPr>
          <w:rFonts w:eastAsiaTheme="minorHAnsi"/>
          <w:lang w:eastAsia="en-US"/>
        </w:rPr>
        <w:t xml:space="preserve">vány pouze účetní doklady se zakázkou související. </w:t>
      </w:r>
    </w:p>
    <w:p w:rsidR="00A521FC" w:rsidRPr="007B56D9" w:rsidRDefault="00A12FE6" w:rsidP="007B56D9">
      <w:pPr>
        <w:jc w:val="both"/>
        <w:rPr>
          <w:rFonts w:eastAsiaTheme="minorHAnsi"/>
          <w:strike/>
          <w:lang w:eastAsia="en-US"/>
        </w:rPr>
      </w:pPr>
      <w:r w:rsidRPr="00BA6921">
        <w:rPr>
          <w:rFonts w:eastAsiaTheme="minorHAnsi"/>
          <w:lang w:eastAsia="en-US"/>
        </w:rPr>
        <w:t>Dále se výše uvedené postupy netýkají zakázek, které jsou v</w:t>
      </w:r>
      <w:r w:rsidR="00EB622E">
        <w:rPr>
          <w:rFonts w:eastAsiaTheme="minorHAnsi"/>
          <w:lang w:eastAsia="en-US"/>
        </w:rPr>
        <w:t xml:space="preserve"> malém </w:t>
      </w:r>
      <w:r w:rsidRPr="00BA6921">
        <w:rPr>
          <w:rFonts w:eastAsiaTheme="minorHAnsi"/>
          <w:lang w:eastAsia="en-US"/>
        </w:rPr>
        <w:t xml:space="preserve">projektu vykazovány pouze částečně, např. zadávací řízení na kancelářské </w:t>
      </w:r>
      <w:proofErr w:type="gramStart"/>
      <w:r w:rsidRPr="00BA6921">
        <w:rPr>
          <w:rFonts w:eastAsiaTheme="minorHAnsi"/>
          <w:lang w:eastAsia="en-US"/>
        </w:rPr>
        <w:t>potřeby</w:t>
      </w:r>
      <w:proofErr w:type="gramEnd"/>
      <w:r w:rsidRPr="00BA6921">
        <w:rPr>
          <w:rFonts w:eastAsiaTheme="minorHAnsi"/>
          <w:lang w:eastAsia="en-US"/>
        </w:rPr>
        <w:t xml:space="preserve"> a to za splnění podmínky, že součet výdajů uplatňovaných v projektu nepřesáhne 400 000 Kč (v případě, že je dodavatelem plátce DPH, se jedná o částku bez DPH). </w:t>
      </w:r>
    </w:p>
    <w:sectPr w:rsidR="00A521FC" w:rsidRPr="007B56D9" w:rsidSect="00FB57D0">
      <w:headerReference w:type="default" r:id="rId9"/>
      <w:footerReference w:type="default" r:id="rId10"/>
      <w:pgSz w:w="11906" w:h="16838"/>
      <w:pgMar w:top="1675"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94D" w:rsidRDefault="0094494D" w:rsidP="00AF1E6A">
      <w:pPr>
        <w:spacing w:after="0" w:line="240" w:lineRule="auto"/>
      </w:pPr>
      <w:r>
        <w:separator/>
      </w:r>
    </w:p>
  </w:endnote>
  <w:endnote w:type="continuationSeparator" w:id="0">
    <w:p w:rsidR="0094494D" w:rsidRDefault="0094494D" w:rsidP="00AF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6303"/>
      <w:docPartObj>
        <w:docPartGallery w:val="Page Numbers (Bottom of Page)"/>
        <w:docPartUnique/>
      </w:docPartObj>
    </w:sdtPr>
    <w:sdtEndPr/>
    <w:sdtContent>
      <w:p w:rsidR="005A0768" w:rsidRDefault="00925C86">
        <w:pPr>
          <w:pStyle w:val="Zpat"/>
          <w:jc w:val="right"/>
        </w:pPr>
        <w:r>
          <w:fldChar w:fldCharType="begin"/>
        </w:r>
        <w:r w:rsidR="00860016">
          <w:instrText xml:space="preserve"> PAGE   \* MERGEFORMAT </w:instrText>
        </w:r>
        <w:r>
          <w:fldChar w:fldCharType="separate"/>
        </w:r>
        <w:r w:rsidR="00F62515">
          <w:rPr>
            <w:noProof/>
          </w:rPr>
          <w:t>1</w:t>
        </w:r>
        <w:r>
          <w:rPr>
            <w:noProof/>
          </w:rPr>
          <w:fldChar w:fldCharType="end"/>
        </w:r>
      </w:p>
    </w:sdtContent>
  </w:sdt>
  <w:p w:rsidR="005A0768" w:rsidRDefault="005A07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94D" w:rsidRDefault="0094494D" w:rsidP="00AF1E6A">
      <w:pPr>
        <w:spacing w:after="0" w:line="240" w:lineRule="auto"/>
      </w:pPr>
      <w:r>
        <w:separator/>
      </w:r>
    </w:p>
  </w:footnote>
  <w:footnote w:type="continuationSeparator" w:id="0">
    <w:p w:rsidR="0094494D" w:rsidRDefault="0094494D" w:rsidP="00AF1E6A">
      <w:pPr>
        <w:spacing w:after="0" w:line="240" w:lineRule="auto"/>
      </w:pPr>
      <w:r>
        <w:continuationSeparator/>
      </w:r>
    </w:p>
  </w:footnote>
  <w:footnote w:id="1">
    <w:p w:rsidR="00A12FE6" w:rsidRPr="00E72330" w:rsidRDefault="00A12FE6" w:rsidP="00A12FE6">
      <w:pPr>
        <w:pStyle w:val="Default"/>
        <w:rPr>
          <w:rFonts w:asciiTheme="minorHAnsi" w:hAnsiTheme="minorHAnsi" w:cstheme="minorHAnsi"/>
          <w:lang w:val="cs-CZ"/>
        </w:rPr>
      </w:pPr>
      <w:r w:rsidRPr="00E72330">
        <w:rPr>
          <w:rStyle w:val="Znakapoznpodarou"/>
          <w:rFonts w:asciiTheme="minorHAnsi" w:hAnsiTheme="minorHAnsi" w:cstheme="minorHAnsi"/>
          <w:sz w:val="20"/>
          <w:szCs w:val="20"/>
        </w:rPr>
        <w:footnoteRef/>
      </w:r>
      <w:r w:rsidRPr="00E72330">
        <w:rPr>
          <w:rFonts w:asciiTheme="minorHAnsi" w:hAnsiTheme="minorHAnsi" w:cstheme="minorHAnsi"/>
          <w:sz w:val="20"/>
          <w:szCs w:val="20"/>
        </w:rPr>
        <w:t xml:space="preserve"> </w:t>
      </w:r>
      <w:r w:rsidRPr="00E72330">
        <w:rPr>
          <w:rFonts w:asciiTheme="minorHAnsi" w:eastAsiaTheme="minorHAnsi" w:hAnsiTheme="minorHAnsi" w:cstheme="minorHAnsi"/>
          <w:sz w:val="20"/>
          <w:szCs w:val="20"/>
          <w:lang w:val="cs-CZ" w:eastAsia="en-US"/>
        </w:rPr>
        <w:t xml:space="preserve">Posouzením veřejné zakázky nepřechází odpovědnost za to, že veřejná zakázka bude zadána správně a v souladu se zásadami, zákony a dalšími předpisy </w:t>
      </w:r>
      <w:r w:rsidR="006F3DA5">
        <w:rPr>
          <w:rFonts w:asciiTheme="minorHAnsi" w:eastAsiaTheme="minorHAnsi" w:hAnsiTheme="minorHAnsi" w:cstheme="minorHAnsi"/>
          <w:sz w:val="20"/>
          <w:szCs w:val="20"/>
          <w:lang w:val="cs-CZ" w:eastAsia="en-US"/>
        </w:rPr>
        <w:t>na Správce</w:t>
      </w:r>
      <w:r w:rsidRPr="00E72330">
        <w:rPr>
          <w:rFonts w:asciiTheme="minorHAnsi" w:eastAsiaTheme="minorHAnsi" w:hAnsiTheme="minorHAnsi" w:cstheme="minorHAnsi"/>
          <w:sz w:val="20"/>
          <w:szCs w:val="20"/>
          <w:lang w:val="cs-CZ" w:eastAsia="en-US"/>
        </w:rPr>
        <w:t xml:space="preserve">. Tuto odpovědnost nese vždy zadavatel veřejné zakázky. </w:t>
      </w:r>
    </w:p>
  </w:footnote>
  <w:footnote w:id="2">
    <w:p w:rsidR="00A12FE6" w:rsidRPr="00E72330" w:rsidRDefault="00A12FE6" w:rsidP="00A12FE6">
      <w:pPr>
        <w:pStyle w:val="Default"/>
        <w:rPr>
          <w:rFonts w:asciiTheme="minorHAnsi" w:hAnsiTheme="minorHAnsi" w:cstheme="minorHAnsi"/>
          <w:lang w:val="cs-CZ"/>
        </w:rPr>
      </w:pPr>
      <w:r w:rsidRPr="00E72330">
        <w:rPr>
          <w:rStyle w:val="Znakapoznpodarou"/>
          <w:rFonts w:asciiTheme="minorHAnsi" w:hAnsiTheme="minorHAnsi" w:cstheme="minorHAnsi"/>
          <w:sz w:val="20"/>
          <w:szCs w:val="20"/>
        </w:rPr>
        <w:footnoteRef/>
      </w:r>
      <w:r w:rsidRPr="00E72330">
        <w:rPr>
          <w:rFonts w:asciiTheme="minorHAnsi" w:hAnsiTheme="minorHAnsi" w:cstheme="minorHAnsi"/>
          <w:sz w:val="20"/>
          <w:szCs w:val="20"/>
        </w:rPr>
        <w:t xml:space="preserve"> </w:t>
      </w:r>
      <w:r w:rsidRPr="00E72330">
        <w:rPr>
          <w:rFonts w:asciiTheme="minorHAnsi" w:eastAsiaTheme="minorHAnsi" w:hAnsiTheme="minorHAnsi" w:cstheme="minorHAnsi"/>
          <w:sz w:val="20"/>
          <w:szCs w:val="20"/>
          <w:lang w:val="cs-CZ" w:eastAsia="en-US"/>
        </w:rPr>
        <w:t xml:space="preserve">V případě zakázek vyhlášených od 01. 10. 2016 </w:t>
      </w:r>
    </w:p>
  </w:footnote>
  <w:footnote w:id="3">
    <w:p w:rsidR="00A12FE6" w:rsidRPr="00DD3F51" w:rsidRDefault="00A12FE6" w:rsidP="00DD3F51">
      <w:pPr>
        <w:pStyle w:val="Default"/>
        <w:rPr>
          <w:rFonts w:asciiTheme="minorHAnsi" w:eastAsiaTheme="minorHAnsi" w:hAnsiTheme="minorHAnsi" w:cstheme="minorHAnsi"/>
          <w:sz w:val="20"/>
          <w:szCs w:val="20"/>
          <w:lang w:val="cs-CZ" w:eastAsia="en-US"/>
        </w:rPr>
      </w:pPr>
      <w:r w:rsidRPr="00E72330">
        <w:rPr>
          <w:rStyle w:val="Znakapoznpodarou"/>
          <w:rFonts w:asciiTheme="minorHAnsi" w:hAnsiTheme="minorHAnsi" w:cstheme="minorHAnsi"/>
          <w:sz w:val="20"/>
          <w:szCs w:val="20"/>
        </w:rPr>
        <w:footnoteRef/>
      </w:r>
      <w:r w:rsidRPr="00E72330">
        <w:rPr>
          <w:rFonts w:asciiTheme="minorHAnsi" w:hAnsiTheme="minorHAnsi" w:cstheme="minorHAnsi"/>
          <w:sz w:val="20"/>
          <w:szCs w:val="20"/>
        </w:rPr>
        <w:t xml:space="preserve"> </w:t>
      </w:r>
      <w:r w:rsidRPr="00E72330">
        <w:rPr>
          <w:rFonts w:asciiTheme="minorHAnsi" w:eastAsiaTheme="minorHAnsi" w:hAnsiTheme="minorHAnsi" w:cstheme="minorHAnsi"/>
          <w:sz w:val="20"/>
          <w:szCs w:val="20"/>
          <w:lang w:val="cs-CZ" w:eastAsia="en-US"/>
        </w:rPr>
        <w:t xml:space="preserve">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 či podobného předmětu plnění (partner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 </w:t>
      </w:r>
    </w:p>
  </w:footnote>
  <w:footnote w:id="4">
    <w:p w:rsidR="00D05711" w:rsidRPr="00636CC8" w:rsidRDefault="00D05711" w:rsidP="00D05711">
      <w:pPr>
        <w:pStyle w:val="Default"/>
        <w:rPr>
          <w:rFonts w:asciiTheme="minorHAnsi" w:eastAsiaTheme="minorHAnsi" w:hAnsiTheme="minorHAnsi" w:cstheme="minorHAnsi"/>
          <w:sz w:val="14"/>
          <w:szCs w:val="14"/>
          <w:lang w:val="cs-CZ" w:eastAsia="en-US"/>
        </w:rPr>
      </w:pPr>
      <w:r w:rsidRPr="00636CC8">
        <w:rPr>
          <w:rStyle w:val="Znakapoznpodarou"/>
          <w:rFonts w:asciiTheme="minorHAnsi" w:hAnsiTheme="minorHAnsi" w:cstheme="minorHAnsi"/>
          <w:sz w:val="16"/>
          <w:szCs w:val="16"/>
        </w:rPr>
        <w:footnoteRef/>
      </w:r>
      <w:r w:rsidRPr="00636CC8">
        <w:rPr>
          <w:rFonts w:asciiTheme="minorHAnsi" w:hAnsiTheme="minorHAnsi" w:cstheme="minorHAnsi"/>
          <w:sz w:val="16"/>
          <w:szCs w:val="16"/>
        </w:rPr>
        <w:t xml:space="preserve"> </w:t>
      </w:r>
      <w:r w:rsidR="008D257C">
        <w:rPr>
          <w:rFonts w:asciiTheme="minorHAnsi" w:eastAsiaTheme="minorHAnsi" w:hAnsiTheme="minorHAnsi" w:cstheme="minorHAnsi"/>
          <w:sz w:val="20"/>
          <w:szCs w:val="20"/>
          <w:lang w:val="cs-CZ" w:eastAsia="en-US"/>
        </w:rPr>
        <w:t>Konečný uživatel</w:t>
      </w:r>
      <w:r w:rsidRPr="00636CC8">
        <w:rPr>
          <w:rFonts w:asciiTheme="minorHAnsi" w:eastAsiaTheme="minorHAnsi" w:hAnsiTheme="minorHAnsi" w:cstheme="minorHAnsi"/>
          <w:sz w:val="20"/>
          <w:szCs w:val="20"/>
          <w:lang w:val="cs-CZ" w:eastAsia="en-US"/>
        </w:rPr>
        <w:t xml:space="preserve"> v rámci zadávací dokumentace mimo jiné stanoví (a) fakturační podmínky tak, aby byla jednoznačně patrná souvislost jednotlivých faktur s projektem a (b) v případě, kdy </w:t>
      </w:r>
      <w:r w:rsidR="008D257C">
        <w:rPr>
          <w:rFonts w:asciiTheme="minorHAnsi" w:eastAsiaTheme="minorHAnsi" w:hAnsiTheme="minorHAnsi" w:cstheme="minorHAnsi"/>
          <w:sz w:val="20"/>
          <w:szCs w:val="20"/>
          <w:lang w:val="cs-CZ" w:eastAsia="en-US"/>
        </w:rPr>
        <w:t>KU</w:t>
      </w:r>
      <w:r w:rsidRPr="00636CC8">
        <w:rPr>
          <w:rFonts w:asciiTheme="minorHAnsi" w:eastAsiaTheme="minorHAnsi" w:hAnsiTheme="minorHAnsi" w:cstheme="minorHAnsi"/>
          <w:sz w:val="20"/>
          <w:szCs w:val="20"/>
          <w:lang w:val="cs-CZ" w:eastAsia="en-US"/>
        </w:rPr>
        <w:t xml:space="preserve"> nezajistí adekvátní publicitu vlastními silami i povinnost vybraného dodavatele zajistit </w:t>
      </w:r>
      <w:r w:rsidR="00B767B8">
        <w:rPr>
          <w:rFonts w:asciiTheme="minorHAnsi" w:eastAsiaTheme="minorHAnsi" w:hAnsiTheme="minorHAnsi" w:cstheme="minorHAnsi"/>
          <w:sz w:val="20"/>
          <w:szCs w:val="20"/>
          <w:lang w:val="cs-CZ" w:eastAsia="en-US"/>
        </w:rPr>
        <w:t>MP</w:t>
      </w:r>
      <w:r w:rsidRPr="00636CC8">
        <w:rPr>
          <w:rFonts w:asciiTheme="minorHAnsi" w:eastAsiaTheme="minorHAnsi" w:hAnsiTheme="minorHAnsi" w:cstheme="minorHAnsi"/>
          <w:sz w:val="20"/>
          <w:szCs w:val="20"/>
          <w:lang w:val="cs-CZ" w:eastAsia="en-US"/>
        </w:rPr>
        <w:t xml:space="preserve"> dostatečnou publicitu dle náležitostí uvedených v</w:t>
      </w:r>
      <w:r w:rsidR="00E87D1A">
        <w:rPr>
          <w:rFonts w:asciiTheme="minorHAnsi" w:eastAsiaTheme="minorHAnsi" w:hAnsiTheme="minorHAnsi" w:cstheme="minorHAnsi"/>
          <w:sz w:val="20"/>
          <w:szCs w:val="20"/>
          <w:lang w:val="cs-CZ" w:eastAsia="en-US"/>
        </w:rPr>
        <w:t> příloze č. III.5 PpŽaKU</w:t>
      </w:r>
      <w:r w:rsidRPr="00636CC8">
        <w:rPr>
          <w:rFonts w:asciiTheme="minorHAnsi" w:eastAsiaTheme="minorHAnsi" w:hAnsiTheme="minorHAnsi" w:cstheme="minorHAnsi"/>
          <w:sz w:val="20"/>
          <w:szCs w:val="20"/>
          <w:lang w:val="cs-CZ" w:eastAsia="en-US"/>
        </w:rPr>
        <w:t xml:space="preserve"> a informovat veřejnost vhodným způsobem o tom, že </w:t>
      </w:r>
      <w:r w:rsidR="00B767B8">
        <w:rPr>
          <w:rFonts w:asciiTheme="minorHAnsi" w:eastAsiaTheme="minorHAnsi" w:hAnsiTheme="minorHAnsi" w:cstheme="minorHAnsi"/>
          <w:sz w:val="20"/>
          <w:szCs w:val="20"/>
          <w:lang w:val="cs-CZ" w:eastAsia="en-US"/>
        </w:rPr>
        <w:t>MP</w:t>
      </w:r>
      <w:r w:rsidRPr="00636CC8">
        <w:rPr>
          <w:rFonts w:asciiTheme="minorHAnsi" w:eastAsiaTheme="minorHAnsi" w:hAnsiTheme="minorHAnsi" w:cstheme="minorHAnsi"/>
          <w:sz w:val="20"/>
          <w:szCs w:val="20"/>
          <w:lang w:val="cs-CZ" w:eastAsia="en-US"/>
        </w:rPr>
        <w:t xml:space="preserve"> je spolufinancován z prostředků EU.</w:t>
      </w:r>
      <w:r w:rsidRPr="00636CC8">
        <w:rPr>
          <w:rFonts w:asciiTheme="minorHAnsi" w:eastAsiaTheme="minorHAnsi" w:hAnsiTheme="minorHAnsi" w:cstheme="minorHAnsi"/>
          <w:sz w:val="14"/>
          <w:szCs w:val="14"/>
          <w:lang w:val="cs-CZ" w:eastAsia="en-US"/>
        </w:rPr>
        <w:t xml:space="preserve"> </w:t>
      </w:r>
    </w:p>
    <w:p w:rsidR="00D05711" w:rsidRPr="00BA6921" w:rsidRDefault="00D05711" w:rsidP="00D05711">
      <w:pPr>
        <w:pStyle w:val="Textpoznpodarou"/>
        <w:spacing w:before="0"/>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1DB" w:rsidRDefault="006061DB" w:rsidP="006061DB">
    <w:pPr>
      <w:pStyle w:val="Zhlav"/>
      <w:jc w:val="right"/>
    </w:pPr>
    <w:r>
      <w:t>Příloha č. III.</w:t>
    </w:r>
    <w:r w:rsidR="00215198">
      <w:t xml:space="preserve"> 10</w:t>
    </w:r>
    <w:r>
      <w:t xml:space="preserve"> a) k Příručce pro žadatele a konečné uživatele</w:t>
    </w:r>
  </w:p>
  <w:p w:rsidR="005F450E" w:rsidRDefault="005F450E" w:rsidP="006061DB">
    <w:pPr>
      <w:pStyle w:val="Zhlav"/>
      <w:jc w:val="right"/>
    </w:pPr>
    <w:r>
      <w:t>verze 1.0</w:t>
    </w:r>
  </w:p>
  <w:p w:rsidR="006061DB" w:rsidRDefault="006061DB">
    <w:pPr>
      <w:pStyle w:val="Zhlav"/>
    </w:pPr>
    <w:r>
      <w:rPr>
        <w:noProof/>
        <w:lang w:eastAsia="ja-JP"/>
      </w:rPr>
      <w:drawing>
        <wp:anchor distT="0" distB="0" distL="114300" distR="114300" simplePos="0" relativeHeight="251660288" behindDoc="1" locked="0" layoutInCell="1" allowOverlap="1">
          <wp:simplePos x="0" y="0"/>
          <wp:positionH relativeFrom="column">
            <wp:posOffset>-52070</wp:posOffset>
          </wp:positionH>
          <wp:positionV relativeFrom="paragraph">
            <wp:posOffset>10795</wp:posOffset>
          </wp:positionV>
          <wp:extent cx="5977255" cy="542925"/>
          <wp:effectExtent l="19050" t="0" r="444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p2.png"/>
                  <pic:cNvPicPr/>
                </pic:nvPicPr>
                <pic:blipFill>
                  <a:blip r:embed="rId1">
                    <a:extLst>
                      <a:ext uri="{28A0092B-C50C-407E-A947-70E740481C1C}">
                        <a14:useLocalDpi xmlns:a14="http://schemas.microsoft.com/office/drawing/2010/main" val="0"/>
                      </a:ext>
                    </a:extLst>
                  </a:blip>
                  <a:stretch>
                    <a:fillRect/>
                  </a:stretch>
                </pic:blipFill>
                <pic:spPr>
                  <a:xfrm>
                    <a:off x="0" y="0"/>
                    <a:ext cx="5977255" cy="542925"/>
                  </a:xfrm>
                  <a:prstGeom prst="rect">
                    <a:avLst/>
                  </a:prstGeom>
                </pic:spPr>
              </pic:pic>
            </a:graphicData>
          </a:graphic>
        </wp:anchor>
      </w:drawing>
    </w:r>
  </w:p>
  <w:p w:rsidR="009A4A96" w:rsidRDefault="009A4A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4E8A006"/>
    <w:lvl w:ilvl="0">
      <w:start w:val="1"/>
      <w:numFmt w:val="decimal"/>
      <w:pStyle w:val="Nadpis1"/>
      <w:lvlText w:val="%1"/>
      <w:lvlJc w:val="left"/>
      <w:pPr>
        <w:tabs>
          <w:tab w:val="num" w:pos="432"/>
        </w:tabs>
        <w:ind w:left="0" w:firstLine="0"/>
      </w:pPr>
      <w:rPr>
        <w:rFonts w:ascii="Calibri" w:hAnsi="Calibri" w:cs="Calibri" w:hint="default"/>
      </w:rPr>
    </w:lvl>
    <w:lvl w:ilvl="1">
      <w:start w:val="1"/>
      <w:numFmt w:val="decimal"/>
      <w:pStyle w:val="Nadpis2"/>
      <w:lvlText w:val="%1.%2"/>
      <w:lvlJc w:val="left"/>
      <w:pPr>
        <w:tabs>
          <w:tab w:val="num" w:pos="718"/>
        </w:tabs>
        <w:ind w:left="142" w:firstLine="0"/>
      </w:pPr>
      <w:rPr>
        <w:rFonts w:ascii="Calibri" w:hAnsi="Calibri" w:cs="Calibri" w:hint="default"/>
      </w:rPr>
    </w:lvl>
    <w:lvl w:ilvl="2">
      <w:start w:val="1"/>
      <w:numFmt w:val="decimal"/>
      <w:lvlText w:val="%1.%2.%3"/>
      <w:lvlJc w:val="left"/>
      <w:pPr>
        <w:tabs>
          <w:tab w:val="num" w:pos="720"/>
        </w:tabs>
        <w:ind w:left="0" w:firstLine="0"/>
      </w:pPr>
      <w:rPr>
        <w:rFonts w:ascii="Times New Roman" w:hAnsi="Times New Roman" w:cs="Times New Roman"/>
      </w:rPr>
    </w:lvl>
    <w:lvl w:ilvl="3">
      <w:start w:val="1"/>
      <w:numFmt w:val="decimal"/>
      <w:lvlText w:val="%1.%2.%3.%4"/>
      <w:lvlJc w:val="left"/>
      <w:pPr>
        <w:tabs>
          <w:tab w:val="num" w:pos="864"/>
        </w:tabs>
        <w:ind w:left="0" w:firstLine="0"/>
      </w:pPr>
      <w:rPr>
        <w:rFonts w:ascii="Times New Roman" w:hAnsi="Times New Roman" w:cs="Times New Roman"/>
      </w:rPr>
    </w:lvl>
    <w:lvl w:ilvl="4">
      <w:start w:val="1"/>
      <w:numFmt w:val="lowerLetter"/>
      <w:lvlText w:val="%1.%2.%3.%4.%5"/>
      <w:lvlJc w:val="left"/>
      <w:pPr>
        <w:tabs>
          <w:tab w:val="num" w:pos="1008"/>
        </w:tabs>
        <w:ind w:left="0" w:firstLine="0"/>
      </w:pPr>
      <w:rPr>
        <w:rFonts w:ascii="Times New Roman" w:hAnsi="Times New Roman" w:cs="Times New Roman"/>
      </w:rPr>
    </w:lvl>
    <w:lvl w:ilvl="5">
      <w:start w:val="1"/>
      <w:numFmt w:val="decimal"/>
      <w:lvlText w:val="%1.%2.%3.%4.%5.%6"/>
      <w:lvlJc w:val="left"/>
      <w:pPr>
        <w:tabs>
          <w:tab w:val="num" w:pos="1152"/>
        </w:tabs>
        <w:ind w:left="0" w:firstLine="0"/>
      </w:pPr>
      <w:rPr>
        <w:rFonts w:ascii="Times New Roman" w:hAnsi="Times New Roman" w:cs="Times New Roman"/>
      </w:rPr>
    </w:lvl>
    <w:lvl w:ilvl="6">
      <w:start w:val="1"/>
      <w:numFmt w:val="decimal"/>
      <w:lvlText w:val="%1.%2.%3.%4.%5.%6.%7"/>
      <w:lvlJc w:val="left"/>
      <w:pPr>
        <w:tabs>
          <w:tab w:val="num" w:pos="1296"/>
        </w:tabs>
        <w:ind w:left="0" w:firstLine="0"/>
      </w:pPr>
      <w:rPr>
        <w:rFonts w:ascii="Times New Roman" w:hAnsi="Times New Roman" w:cs="Times New Roman"/>
      </w:rPr>
    </w:lvl>
    <w:lvl w:ilvl="7">
      <w:start w:val="1"/>
      <w:numFmt w:val="decimal"/>
      <w:lvlText w:val="%1.%2.%3.%4.%5.%6.%7.%8"/>
      <w:lvlJc w:val="left"/>
      <w:pPr>
        <w:tabs>
          <w:tab w:val="num" w:pos="1440"/>
        </w:tabs>
        <w:ind w:left="0" w:firstLine="0"/>
      </w:pPr>
      <w:rPr>
        <w:rFonts w:ascii="Times New Roman" w:hAnsi="Times New Roman" w:cs="Times New Roman"/>
      </w:rPr>
    </w:lvl>
    <w:lvl w:ilvl="8">
      <w:start w:val="1"/>
      <w:numFmt w:val="decimal"/>
      <w:lvlText w:val="%1.%2.%3.%4.%5.%6.%7.%8.%9"/>
      <w:lvlJc w:val="left"/>
      <w:pPr>
        <w:tabs>
          <w:tab w:val="num" w:pos="1584"/>
        </w:tabs>
        <w:ind w:left="0" w:firstLine="0"/>
      </w:pPr>
      <w:rPr>
        <w:rFonts w:ascii="Times New Roman" w:hAnsi="Times New Roman" w:cs="Times New Roman"/>
      </w:rPr>
    </w:lvl>
  </w:abstractNum>
  <w:abstractNum w:abstractNumId="1" w15:restartNumberingAfterBreak="0">
    <w:nsid w:val="05BD537E"/>
    <w:multiLevelType w:val="hybridMultilevel"/>
    <w:tmpl w:val="D084E61C"/>
    <w:lvl w:ilvl="0" w:tplc="04050001">
      <w:start w:val="1"/>
      <w:numFmt w:val="bullet"/>
      <w:lvlText w:val=""/>
      <w:lvlJc w:val="left"/>
      <w:pPr>
        <w:ind w:left="720" w:hanging="360"/>
      </w:pPr>
      <w:rPr>
        <w:rFonts w:ascii="Symbol" w:hAnsi="Symbol" w:hint="default"/>
      </w:rPr>
    </w:lvl>
    <w:lvl w:ilvl="1" w:tplc="2536EAB6">
      <w:start w:val="1"/>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A30E8"/>
    <w:multiLevelType w:val="hybridMultilevel"/>
    <w:tmpl w:val="3C4CB9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5B2DFF"/>
    <w:multiLevelType w:val="hybridMultilevel"/>
    <w:tmpl w:val="E9EE03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EB74D7"/>
    <w:multiLevelType w:val="hybridMultilevel"/>
    <w:tmpl w:val="CA8AA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2946F6"/>
    <w:multiLevelType w:val="hybridMultilevel"/>
    <w:tmpl w:val="1C568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D231D5"/>
    <w:multiLevelType w:val="hybridMultilevel"/>
    <w:tmpl w:val="EBD4C64C"/>
    <w:lvl w:ilvl="0" w:tplc="0374F25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74047F"/>
    <w:multiLevelType w:val="hybridMultilevel"/>
    <w:tmpl w:val="AA10A158"/>
    <w:lvl w:ilvl="0" w:tplc="0374F25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C60ED8"/>
    <w:multiLevelType w:val="multilevel"/>
    <w:tmpl w:val="638A3B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004D36"/>
    <w:multiLevelType w:val="hybridMultilevel"/>
    <w:tmpl w:val="CFFEC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5858C7"/>
    <w:multiLevelType w:val="hybridMultilevel"/>
    <w:tmpl w:val="B7AA9626"/>
    <w:lvl w:ilvl="0" w:tplc="04050001">
      <w:start w:val="1"/>
      <w:numFmt w:val="bullet"/>
      <w:lvlText w:val=""/>
      <w:lvlJc w:val="left"/>
      <w:pPr>
        <w:ind w:left="720" w:hanging="360"/>
      </w:pPr>
      <w:rPr>
        <w:rFonts w:ascii="Symbol" w:hAnsi="Symbol" w:hint="default"/>
      </w:rPr>
    </w:lvl>
    <w:lvl w:ilvl="1" w:tplc="E6028AE4">
      <w:numFmt w:val="bullet"/>
      <w:lvlText w:val="·"/>
      <w:lvlJc w:val="left"/>
      <w:pPr>
        <w:ind w:left="1440" w:hanging="360"/>
      </w:pPr>
      <w:rPr>
        <w:rFonts w:ascii="Calibri" w:eastAsiaTheme="minorEastAsia" w:hAnsi="Calibri"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C65C60"/>
    <w:multiLevelType w:val="hybridMultilevel"/>
    <w:tmpl w:val="1C74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5D42DD"/>
    <w:multiLevelType w:val="hybridMultilevel"/>
    <w:tmpl w:val="8E943356"/>
    <w:lvl w:ilvl="0" w:tplc="0374F25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C50679A"/>
    <w:multiLevelType w:val="hybridMultilevel"/>
    <w:tmpl w:val="14FC8D4C"/>
    <w:lvl w:ilvl="0" w:tplc="CF7A260C">
      <w:numFmt w:val="bullet"/>
      <w:lvlText w:val="·"/>
      <w:lvlJc w:val="left"/>
      <w:pPr>
        <w:ind w:left="720" w:hanging="360"/>
      </w:pPr>
      <w:rPr>
        <w:rFonts w:ascii="Calibri" w:eastAsiaTheme="minorEastAsia"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CD1FA0"/>
    <w:multiLevelType w:val="hybridMultilevel"/>
    <w:tmpl w:val="64708F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2423F2"/>
    <w:multiLevelType w:val="hybridMultilevel"/>
    <w:tmpl w:val="430458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2"/>
  </w:num>
  <w:num w:numId="5">
    <w:abstractNumId w:val="6"/>
  </w:num>
  <w:num w:numId="6">
    <w:abstractNumId w:val="1"/>
  </w:num>
  <w:num w:numId="7">
    <w:abstractNumId w:val="7"/>
  </w:num>
  <w:num w:numId="8">
    <w:abstractNumId w:val="10"/>
  </w:num>
  <w:num w:numId="9">
    <w:abstractNumId w:val="13"/>
  </w:num>
  <w:num w:numId="10">
    <w:abstractNumId w:val="3"/>
  </w:num>
  <w:num w:numId="11">
    <w:abstractNumId w:val="5"/>
  </w:num>
  <w:num w:numId="12">
    <w:abstractNumId w:val="4"/>
  </w:num>
  <w:num w:numId="13">
    <w:abstractNumId w:val="15"/>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A"/>
    <w:rsid w:val="000021B3"/>
    <w:rsid w:val="00003792"/>
    <w:rsid w:val="0000408D"/>
    <w:rsid w:val="00005611"/>
    <w:rsid w:val="0001494F"/>
    <w:rsid w:val="00073D58"/>
    <w:rsid w:val="00075FC5"/>
    <w:rsid w:val="000B051A"/>
    <w:rsid w:val="000B494C"/>
    <w:rsid w:val="000B5067"/>
    <w:rsid w:val="000C0D55"/>
    <w:rsid w:val="000D1EA9"/>
    <w:rsid w:val="000D4940"/>
    <w:rsid w:val="000F0769"/>
    <w:rsid w:val="00100664"/>
    <w:rsid w:val="00113146"/>
    <w:rsid w:val="00116D0E"/>
    <w:rsid w:val="001216D9"/>
    <w:rsid w:val="0012173F"/>
    <w:rsid w:val="001305EB"/>
    <w:rsid w:val="001324F6"/>
    <w:rsid w:val="0014295C"/>
    <w:rsid w:val="00147943"/>
    <w:rsid w:val="00164D6B"/>
    <w:rsid w:val="00170EA0"/>
    <w:rsid w:val="0019386C"/>
    <w:rsid w:val="001A0C68"/>
    <w:rsid w:val="001D1831"/>
    <w:rsid w:val="00212529"/>
    <w:rsid w:val="00215198"/>
    <w:rsid w:val="00216119"/>
    <w:rsid w:val="00244B13"/>
    <w:rsid w:val="00285CA2"/>
    <w:rsid w:val="002919C8"/>
    <w:rsid w:val="002A0425"/>
    <w:rsid w:val="002A14CC"/>
    <w:rsid w:val="002A7650"/>
    <w:rsid w:val="002B2DF1"/>
    <w:rsid w:val="002D1937"/>
    <w:rsid w:val="002F2B80"/>
    <w:rsid w:val="00301BDC"/>
    <w:rsid w:val="00333544"/>
    <w:rsid w:val="00344DF6"/>
    <w:rsid w:val="00360F09"/>
    <w:rsid w:val="003B2428"/>
    <w:rsid w:val="003D16C8"/>
    <w:rsid w:val="003E755B"/>
    <w:rsid w:val="004017F7"/>
    <w:rsid w:val="00410ECD"/>
    <w:rsid w:val="00425BF9"/>
    <w:rsid w:val="0044399A"/>
    <w:rsid w:val="00454208"/>
    <w:rsid w:val="004670B9"/>
    <w:rsid w:val="00467C8F"/>
    <w:rsid w:val="00474918"/>
    <w:rsid w:val="0049777E"/>
    <w:rsid w:val="004A0349"/>
    <w:rsid w:val="004B6E93"/>
    <w:rsid w:val="004F0456"/>
    <w:rsid w:val="0052366F"/>
    <w:rsid w:val="00537D59"/>
    <w:rsid w:val="00544391"/>
    <w:rsid w:val="00565FEA"/>
    <w:rsid w:val="00583CC7"/>
    <w:rsid w:val="005A0768"/>
    <w:rsid w:val="005B3BB8"/>
    <w:rsid w:val="005C0F1C"/>
    <w:rsid w:val="005C5605"/>
    <w:rsid w:val="005D427A"/>
    <w:rsid w:val="005F450E"/>
    <w:rsid w:val="005F4C69"/>
    <w:rsid w:val="00602E39"/>
    <w:rsid w:val="006061DB"/>
    <w:rsid w:val="00615887"/>
    <w:rsid w:val="00617055"/>
    <w:rsid w:val="00636CC8"/>
    <w:rsid w:val="00652A9E"/>
    <w:rsid w:val="0067061C"/>
    <w:rsid w:val="00672BBA"/>
    <w:rsid w:val="00674580"/>
    <w:rsid w:val="00684077"/>
    <w:rsid w:val="006863CB"/>
    <w:rsid w:val="006B63DC"/>
    <w:rsid w:val="006B7DBA"/>
    <w:rsid w:val="006C121A"/>
    <w:rsid w:val="006D54B1"/>
    <w:rsid w:val="006F24A6"/>
    <w:rsid w:val="006F3DA5"/>
    <w:rsid w:val="006F47FA"/>
    <w:rsid w:val="006F4FCE"/>
    <w:rsid w:val="00705410"/>
    <w:rsid w:val="00713A0F"/>
    <w:rsid w:val="007274B4"/>
    <w:rsid w:val="00736238"/>
    <w:rsid w:val="007375C1"/>
    <w:rsid w:val="0076101B"/>
    <w:rsid w:val="00775E77"/>
    <w:rsid w:val="007902AB"/>
    <w:rsid w:val="00794FDD"/>
    <w:rsid w:val="007A74F1"/>
    <w:rsid w:val="007B1071"/>
    <w:rsid w:val="007B56D9"/>
    <w:rsid w:val="007B577D"/>
    <w:rsid w:val="007C750D"/>
    <w:rsid w:val="007D104D"/>
    <w:rsid w:val="007E4606"/>
    <w:rsid w:val="007F6596"/>
    <w:rsid w:val="0080039E"/>
    <w:rsid w:val="00806ACD"/>
    <w:rsid w:val="008405B5"/>
    <w:rsid w:val="00852585"/>
    <w:rsid w:val="00860016"/>
    <w:rsid w:val="0086759C"/>
    <w:rsid w:val="00871A3A"/>
    <w:rsid w:val="008C6153"/>
    <w:rsid w:val="008D082A"/>
    <w:rsid w:val="008D257C"/>
    <w:rsid w:val="009125FA"/>
    <w:rsid w:val="00914705"/>
    <w:rsid w:val="00916396"/>
    <w:rsid w:val="00925C86"/>
    <w:rsid w:val="00935F1B"/>
    <w:rsid w:val="0094494D"/>
    <w:rsid w:val="009600C9"/>
    <w:rsid w:val="009718B8"/>
    <w:rsid w:val="00976C56"/>
    <w:rsid w:val="009805F3"/>
    <w:rsid w:val="00981F18"/>
    <w:rsid w:val="009860FC"/>
    <w:rsid w:val="009942E8"/>
    <w:rsid w:val="009969BA"/>
    <w:rsid w:val="009A4A96"/>
    <w:rsid w:val="009C5F4E"/>
    <w:rsid w:val="009D0902"/>
    <w:rsid w:val="009D7CC3"/>
    <w:rsid w:val="009E1ED1"/>
    <w:rsid w:val="00A12FE6"/>
    <w:rsid w:val="00A16FAA"/>
    <w:rsid w:val="00A22164"/>
    <w:rsid w:val="00A521FC"/>
    <w:rsid w:val="00A8783C"/>
    <w:rsid w:val="00A91026"/>
    <w:rsid w:val="00A93977"/>
    <w:rsid w:val="00A95108"/>
    <w:rsid w:val="00AB1C82"/>
    <w:rsid w:val="00AB4F85"/>
    <w:rsid w:val="00AD15EC"/>
    <w:rsid w:val="00AE0CE7"/>
    <w:rsid w:val="00AF1C58"/>
    <w:rsid w:val="00AF1E6A"/>
    <w:rsid w:val="00AF54F9"/>
    <w:rsid w:val="00AF62D8"/>
    <w:rsid w:val="00AF6EE9"/>
    <w:rsid w:val="00B022FD"/>
    <w:rsid w:val="00B659AA"/>
    <w:rsid w:val="00B73223"/>
    <w:rsid w:val="00B73E85"/>
    <w:rsid w:val="00B767B8"/>
    <w:rsid w:val="00B9793F"/>
    <w:rsid w:val="00BA7CD8"/>
    <w:rsid w:val="00BB1160"/>
    <w:rsid w:val="00BC6AA5"/>
    <w:rsid w:val="00BF232B"/>
    <w:rsid w:val="00C23DFA"/>
    <w:rsid w:val="00C56DB4"/>
    <w:rsid w:val="00C577BB"/>
    <w:rsid w:val="00C6166C"/>
    <w:rsid w:val="00CB45E1"/>
    <w:rsid w:val="00CB6D03"/>
    <w:rsid w:val="00CD7334"/>
    <w:rsid w:val="00CE0889"/>
    <w:rsid w:val="00CF6572"/>
    <w:rsid w:val="00D05711"/>
    <w:rsid w:val="00D37561"/>
    <w:rsid w:val="00D37E0A"/>
    <w:rsid w:val="00D43A9F"/>
    <w:rsid w:val="00D73129"/>
    <w:rsid w:val="00D97E5E"/>
    <w:rsid w:val="00DB7345"/>
    <w:rsid w:val="00DC412F"/>
    <w:rsid w:val="00DD3F51"/>
    <w:rsid w:val="00DE69F5"/>
    <w:rsid w:val="00DF4719"/>
    <w:rsid w:val="00E06BCA"/>
    <w:rsid w:val="00E324B0"/>
    <w:rsid w:val="00E33699"/>
    <w:rsid w:val="00E37F3D"/>
    <w:rsid w:val="00E72330"/>
    <w:rsid w:val="00E87D1A"/>
    <w:rsid w:val="00EB622E"/>
    <w:rsid w:val="00EB6366"/>
    <w:rsid w:val="00ED547B"/>
    <w:rsid w:val="00EE70DF"/>
    <w:rsid w:val="00EE7857"/>
    <w:rsid w:val="00EE7D69"/>
    <w:rsid w:val="00F04FC8"/>
    <w:rsid w:val="00F17294"/>
    <w:rsid w:val="00F27144"/>
    <w:rsid w:val="00F40283"/>
    <w:rsid w:val="00F62515"/>
    <w:rsid w:val="00F67108"/>
    <w:rsid w:val="00F67DF4"/>
    <w:rsid w:val="00F757FC"/>
    <w:rsid w:val="00FA1371"/>
    <w:rsid w:val="00FB57D0"/>
    <w:rsid w:val="00FF19B2"/>
    <w:rsid w:val="00FF465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EF587-4C0B-4F80-A08F-E18D2FA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B6366"/>
    <w:pPr>
      <w:keepNext/>
      <w:numPr>
        <w:numId w:val="2"/>
      </w:numPr>
      <w:tabs>
        <w:tab w:val="left" w:pos="6480"/>
      </w:tabs>
      <w:suppressAutoHyphens/>
      <w:spacing w:before="240" w:after="60" w:line="240" w:lineRule="auto"/>
      <w:outlineLvl w:val="0"/>
    </w:pPr>
    <w:rPr>
      <w:rFonts w:ascii="Arial" w:eastAsia="Times New Roman" w:hAnsi="Arial" w:cs="Arial"/>
      <w:b/>
      <w:kern w:val="1"/>
      <w:sz w:val="28"/>
      <w:szCs w:val="20"/>
      <w:lang w:val="en-GB" w:eastAsia="ar-SA"/>
    </w:rPr>
  </w:style>
  <w:style w:type="paragraph" w:styleId="Nadpis2">
    <w:name w:val="heading 2"/>
    <w:basedOn w:val="Nadpis1"/>
    <w:next w:val="Normln"/>
    <w:link w:val="Nadpis2Char"/>
    <w:qFormat/>
    <w:rsid w:val="00EB6366"/>
    <w:pPr>
      <w:numPr>
        <w:ilvl w:val="1"/>
      </w:numPr>
      <w:tabs>
        <w:tab w:val="left" w:pos="6624"/>
        <w:tab w:val="left" w:pos="6768"/>
      </w:tabs>
      <w:spacing w:before="120"/>
      <w:outlineLvl w:val="1"/>
    </w:pPr>
    <w:rPr>
      <w:rFonts w:cs="Times New Roman"/>
      <w:sz w:val="24"/>
      <w:szCs w:val="28"/>
      <w:lang w:val="cs-CZ"/>
    </w:rPr>
  </w:style>
  <w:style w:type="paragraph" w:styleId="Nadpis3">
    <w:name w:val="heading 3"/>
    <w:basedOn w:val="Normln"/>
    <w:next w:val="Normln"/>
    <w:link w:val="Nadpis3Char"/>
    <w:uiPriority w:val="9"/>
    <w:semiHidden/>
    <w:unhideWhenUsed/>
    <w:qFormat/>
    <w:rsid w:val="00A12F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12F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F1E6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F1E6A"/>
  </w:style>
  <w:style w:type="paragraph" w:styleId="Zpat">
    <w:name w:val="footer"/>
    <w:basedOn w:val="Normln"/>
    <w:link w:val="ZpatChar"/>
    <w:uiPriority w:val="99"/>
    <w:unhideWhenUsed/>
    <w:rsid w:val="00AF1E6A"/>
    <w:pPr>
      <w:tabs>
        <w:tab w:val="center" w:pos="4536"/>
        <w:tab w:val="right" w:pos="9072"/>
      </w:tabs>
      <w:spacing w:after="0" w:line="240" w:lineRule="auto"/>
    </w:pPr>
  </w:style>
  <w:style w:type="character" w:customStyle="1" w:styleId="ZpatChar">
    <w:name w:val="Zápatí Char"/>
    <w:basedOn w:val="Standardnpsmoodstavce"/>
    <w:link w:val="Zpat"/>
    <w:uiPriority w:val="99"/>
    <w:rsid w:val="00AF1E6A"/>
  </w:style>
  <w:style w:type="paragraph" w:styleId="Textbubliny">
    <w:name w:val="Balloon Text"/>
    <w:basedOn w:val="Normln"/>
    <w:link w:val="TextbublinyChar"/>
    <w:uiPriority w:val="99"/>
    <w:semiHidden/>
    <w:unhideWhenUsed/>
    <w:rsid w:val="009A4A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4A96"/>
    <w:rPr>
      <w:rFonts w:ascii="Tahoma" w:hAnsi="Tahoma" w:cs="Tahoma"/>
      <w:sz w:val="16"/>
      <w:szCs w:val="16"/>
    </w:rPr>
  </w:style>
  <w:style w:type="paragraph" w:styleId="Odstavecseseznamem">
    <w:name w:val="List Paragraph"/>
    <w:aliases w:val="body,Odsek zoznamu2"/>
    <w:basedOn w:val="Normln"/>
    <w:link w:val="OdstavecseseznamemChar"/>
    <w:uiPriority w:val="34"/>
    <w:qFormat/>
    <w:rsid w:val="002F2B80"/>
    <w:pPr>
      <w:ind w:left="720"/>
      <w:contextualSpacing/>
    </w:pPr>
  </w:style>
  <w:style w:type="character" w:customStyle="1" w:styleId="Nadpis1Char">
    <w:name w:val="Nadpis 1 Char"/>
    <w:basedOn w:val="Standardnpsmoodstavce"/>
    <w:link w:val="Nadpis1"/>
    <w:rsid w:val="00EB6366"/>
    <w:rPr>
      <w:rFonts w:ascii="Arial" w:eastAsia="Times New Roman" w:hAnsi="Arial" w:cs="Arial"/>
      <w:b/>
      <w:kern w:val="1"/>
      <w:sz w:val="28"/>
      <w:szCs w:val="20"/>
      <w:lang w:val="en-GB" w:eastAsia="ar-SA"/>
    </w:rPr>
  </w:style>
  <w:style w:type="character" w:customStyle="1" w:styleId="Nadpis2Char">
    <w:name w:val="Nadpis 2 Char"/>
    <w:basedOn w:val="Standardnpsmoodstavce"/>
    <w:link w:val="Nadpis2"/>
    <w:rsid w:val="00EB6366"/>
    <w:rPr>
      <w:rFonts w:ascii="Arial" w:eastAsia="Times New Roman" w:hAnsi="Arial" w:cs="Times New Roman"/>
      <w:b/>
      <w:kern w:val="1"/>
      <w:sz w:val="24"/>
      <w:szCs w:val="28"/>
      <w:lang w:eastAsia="ar-SA"/>
    </w:rPr>
  </w:style>
  <w:style w:type="paragraph" w:styleId="Textpoznpodarou">
    <w:name w:val="footnote text"/>
    <w:aliases w:val="Text poznámky pod čiarou 007,_Poznámka pod čiarou,Podrozdział,Footnote,Text pozn. pod čarou Char1,Text pozn. pod čarou Char Char,Schriftart: 8 pt,Text pozn. pod čarou Char2 Char,Text pozn. pod čarou Char Char1 Char,a_Fußnotentex"/>
    <w:basedOn w:val="Normln"/>
    <w:link w:val="TextpoznpodarouChar"/>
    <w:qFormat/>
    <w:rsid w:val="00116D0E"/>
    <w:pPr>
      <w:spacing w:before="120" w:after="0" w:line="240" w:lineRule="auto"/>
    </w:pPr>
    <w:rPr>
      <w:rFonts w:ascii="Times New Roman" w:eastAsia="Times New Roman" w:hAnsi="Times New Roman" w:cs="Times New Roman"/>
      <w:sz w:val="20"/>
      <w:szCs w:val="20"/>
      <w:lang w:val="sk-SK"/>
    </w:rPr>
  </w:style>
  <w:style w:type="character" w:customStyle="1" w:styleId="TextpoznpodarouChar">
    <w:name w:val="Text pozn. pod čarou Char"/>
    <w:aliases w:val="Text poznámky pod čiarou 007 Char,_Poznámka pod čiarou Char,Podrozdział Char,Footnote Char,Text pozn. pod čarou Char1 Char,Text pozn. pod čarou Char Char Char,Schriftart: 8 pt Char,Text pozn. pod čarou Char2 Char Char"/>
    <w:basedOn w:val="Standardnpsmoodstavce"/>
    <w:link w:val="Textpoznpodarou"/>
    <w:rsid w:val="00116D0E"/>
    <w:rPr>
      <w:rFonts w:ascii="Times New Roman" w:eastAsia="Times New Roman" w:hAnsi="Times New Roman" w:cs="Times New Roman"/>
      <w:sz w:val="20"/>
      <w:szCs w:val="20"/>
      <w:lang w:val="sk-SK"/>
    </w:rPr>
  </w:style>
  <w:style w:type="character" w:styleId="Znakapoznpodarou">
    <w:name w:val="footnote reference"/>
    <w:aliases w:val="PGI Fußnote Ziffer,PGI Fußnote Ziffer + Times New Roman,12 b.,Zúžené o ...,Footnote symbol,Footnote Refernece,BVI fnr,Fußnotenzeichen_Raxen,callout,Footnote Reference Number,SUPERS,Footnote reference number,Times 10 Point"/>
    <w:rsid w:val="00116D0E"/>
    <w:rPr>
      <w:rFonts w:ascii="Tahoma" w:hAnsi="Tahoma"/>
      <w:sz w:val="32"/>
      <w:szCs w:val="24"/>
      <w:vertAlign w:val="superscript"/>
      <w:lang w:val="sk-SK" w:eastAsia="en-US" w:bidi="ar-SA"/>
    </w:rPr>
  </w:style>
  <w:style w:type="character" w:customStyle="1" w:styleId="Nadpis3Char">
    <w:name w:val="Nadpis 3 Char"/>
    <w:basedOn w:val="Standardnpsmoodstavce"/>
    <w:link w:val="Nadpis3"/>
    <w:uiPriority w:val="9"/>
    <w:semiHidden/>
    <w:rsid w:val="00A12FE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A12FE6"/>
    <w:rPr>
      <w:rFonts w:asciiTheme="majorHAnsi" w:eastAsiaTheme="majorEastAsia" w:hAnsiTheme="majorHAnsi" w:cstheme="majorBidi"/>
      <w:b/>
      <w:bCs/>
      <w:i/>
      <w:iCs/>
      <w:color w:val="4F81BD" w:themeColor="accent1"/>
    </w:rPr>
  </w:style>
  <w:style w:type="character" w:customStyle="1" w:styleId="OdstavecseseznamemChar">
    <w:name w:val="Odstavec se seznamem Char"/>
    <w:aliases w:val="body Char,Odsek zoznamu2 Char"/>
    <w:link w:val="Odstavecseseznamem"/>
    <w:uiPriority w:val="34"/>
    <w:locked/>
    <w:rsid w:val="00A12FE6"/>
  </w:style>
  <w:style w:type="paragraph" w:customStyle="1" w:styleId="Default">
    <w:name w:val="Default"/>
    <w:rsid w:val="00A12FE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09B7-E3C8-4A92-A8B0-7E415F5C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7381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Zdenek Mikel</cp:lastModifiedBy>
  <cp:revision>2</cp:revision>
  <dcterms:created xsi:type="dcterms:W3CDTF">2018-05-10T05:41:00Z</dcterms:created>
  <dcterms:modified xsi:type="dcterms:W3CDTF">2018-05-10T05:41:00Z</dcterms:modified>
</cp:coreProperties>
</file>